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**ID__AFFARS_pgi_5301_topic_34__ID**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5301.9001-92</w:t>
      </w:r>
      <w:r>
        <w:rPr>
          <w:rFonts w:ascii="Times New Roman" w:hAnsi="Times New Roman"/>
          <w:color w:val="000000"/>
          <w:sz w:val="31"/>
        </w:rPr>
        <w:t xml:space="preserve"> Clearance Request</w:t>
      </w:r>
    </w:p>
    <w:p>
      <w:pPr>
        <w:pBdr>
          <w:top w:space="5"/>
          <w:left w:space="5"/>
          <w:bottom w:space="5"/>
          <w:right w:space="5"/>
        </w:pBdr>
        <w:spacing w:after="0"/>
        <w:ind w:left="225"/>
        <w:jc w:val="left"/>
      </w:pPr>
      <w:r>
        <w:rPr>
          <w:rFonts w:ascii="Times New Roman" w:hAnsi="Times New Roman"/>
          <w:b w:val="false"/>
          <w:i w:val="false"/>
          <w:color w:val="000000"/>
          <w:sz w:val="22"/>
        </w:rPr>
        <w:t xml:space="preserve">(a) Clearance Request. CAAs may use the Air Force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Clearance</w:t>
        </w:r>
      </w:hyperlink>
      <w:r>
        <w:rPr>
          <w:rFonts w:ascii="Times New Roman" w:hAnsi="Times New Roman"/>
          <w:b w:val="false"/>
          <w:i w:val="false"/>
          <w:color w:val="000000"/>
          <w:sz w:val="22"/>
        </w:rPr>
        <w:t xml:space="preserve"> template, or any local template, to request both business and contract clearance review and approval, except when required to follow AFFARS 5301.9001(f)(1)(i) when the CAA is the DAS(C)/ADAS(C). When both business and contract clearance are required, submit a new request each time. Clearly identify any significant issues or unresolved comments on the “Request for Clearance.”</w:t>
      </w:r>
    </w:p>
    <w:p>
      <w:pPr>
        <w:pBdr>
          <w:top w:space="5"/>
          <w:left w:space="5"/>
          <w:bottom w:space="5"/>
          <w:right w:space="5"/>
        </w:pBdr>
        <w:spacing w:after="0"/>
        <w:ind w:left="225"/>
        <w:jc w:val="left"/>
      </w:pPr>
      <w:r>
        <w:rPr>
          <w:rFonts w:ascii="Times New Roman" w:hAnsi="Times New Roman"/>
          <w:b w:val="false"/>
          <w:i w:val="false"/>
          <w:color w:val="000000"/>
          <w:sz w:val="22"/>
        </w:rPr>
        <w:t>(b) Clearance Request -- Legal Review.</w:t>
      </w:r>
    </w:p>
    <w:p>
      <w:pPr>
        <w:pBdr>
          <w:top w:space="5"/>
          <w:left w:space="5"/>
          <w:bottom w:space="5"/>
          <w:right w:space="5"/>
        </w:pBdr>
        <w:spacing w:after="0"/>
        <w:ind w:left="585"/>
        <w:jc w:val="left"/>
      </w:pPr>
      <w:r>
        <w:rPr>
          <w:rFonts w:ascii="Times New Roman" w:hAnsi="Times New Roman"/>
          <w:b w:val="false"/>
          <w:i w:val="false"/>
          <w:color w:val="000000"/>
          <w:sz w:val="22"/>
        </w:rPr>
        <w:t>(1) Legal review should be accomplished prior to submitting actions for clearance review and approval. Simultaneous legal and clearance review may be requested only in exceptional cases and when agreed to by the program attorney and the Chief of the clearance review staff. Files submitted for clearance approval should clearly evidence local legal review and comment resolution with the program attorney. If there are unresolved legal comments they should be clearly identified in the file and highlighted in the clearance request and any clearance briefing.</w:t>
      </w:r>
    </w:p>
    <w:p>
      <w:pPr>
        <w:pBdr>
          <w:top w:space="5"/>
          <w:left w:space="5"/>
          <w:bottom w:space="5"/>
          <w:right w:space="5"/>
        </w:pBdr>
        <w:spacing w:after="0"/>
        <w:ind w:left="585"/>
        <w:jc w:val="left"/>
      </w:pPr>
      <w:r>
        <w:rPr>
          <w:rFonts w:ascii="Times New Roman" w:hAnsi="Times New Roman"/>
          <w:b w:val="false"/>
          <w:i w:val="false"/>
          <w:color w:val="000000"/>
          <w:sz w:val="22"/>
        </w:rPr>
        <w:t>(2) If any significant changes occur after legal review, or the CAA requires the contracting officer to make significant changes to the contract, then legal should review the file again.</w:t>
      </w:r>
    </w:p>
    <w:p>
      <w:pPr>
        <w:pBdr>
          <w:top w:space="5"/>
          <w:left w:space="5"/>
          <w:bottom w:space="5"/>
          <w:right w:space="5"/>
        </w:pBdr>
        <w:spacing w:after="0"/>
        <w:ind w:left="225"/>
        <w:jc w:val="left"/>
      </w:pPr>
      <w:r>
        <w:rPr>
          <w:rFonts w:ascii="Times New Roman" w:hAnsi="Times New Roman"/>
          <w:b w:val="false"/>
          <w:i w:val="false"/>
          <w:color w:val="000000"/>
          <w:sz w:val="22"/>
        </w:rPr>
        <w:t>(d) Clearance Request -- Clearance Approval. If the CAA is satisfied that the contract action/file meets the clearance objectives of AFFARS 5301.9001, the CAA signs and dates the “Request for Clearance” form. Any conditions that the CAA places on clearance approval should be specified on the “Request for Clearance.”</w:t>
      </w:r>
    </w:p>
    <w:p>
      <w:pPr>
        <w:pBdr>
          <w:top w:space="5"/>
          <w:left w:space="5"/>
          <w:bottom w:space="5"/>
          <w:right w:space="5"/>
        </w:pBdr>
        <w:spacing w:after="0"/>
        <w:ind w:left="225"/>
        <w:jc w:val="left"/>
      </w:pPr>
      <w:r>
        <w:rPr>
          <w:rFonts w:ascii="Times New Roman" w:hAnsi="Times New Roman"/>
          <w:b w:val="false"/>
          <w:i w:val="false"/>
          <w:color w:val="000000"/>
          <w:sz w:val="22"/>
        </w:rPr>
        <w:t>(f) Clearance Request -- Resubmission for Clearance Approval.</w:t>
      </w:r>
    </w:p>
    <w:p>
      <w:pPr>
        <w:pBdr>
          <w:top w:space="5"/>
          <w:left w:space="5"/>
          <w:bottom w:space="5"/>
          <w:right w:space="5"/>
        </w:pBdr>
        <w:spacing w:after="0"/>
        <w:ind w:left="585"/>
        <w:jc w:val="left"/>
      </w:pPr>
      <w:r>
        <w:rPr>
          <w:rFonts w:ascii="Times New Roman" w:hAnsi="Times New Roman"/>
          <w:b w:val="false"/>
          <w:i w:val="false"/>
          <w:color w:val="000000"/>
          <w:sz w:val="22"/>
        </w:rPr>
        <w:t>(1) Changes in acquisition strategy and/or terms and conditions may require the contract action to be resubmitted for clearance approval, for example:</w:t>
      </w:r>
    </w:p>
    <w:p>
      <w:pPr>
        <w:pBdr>
          <w:top w:space="5"/>
          <w:left w:space="5"/>
          <w:bottom w:space="5"/>
          <w:right w:space="5"/>
        </w:pBdr>
        <w:spacing w:after="0"/>
        <w:ind w:left="945"/>
        <w:jc w:val="left"/>
      </w:pPr>
      <w:r>
        <w:rPr>
          <w:rFonts w:ascii="Times New Roman" w:hAnsi="Times New Roman"/>
          <w:b w:val="false"/>
          <w:i w:val="false"/>
          <w:color w:val="000000"/>
          <w:sz w:val="22"/>
        </w:rPr>
        <w:t>(i) Exceeding approved negotiation parameters such as the cost line, contract type, profit/fee rate and (if applicable) the ceiling rate and/or incentive share ratios.</w:t>
      </w:r>
    </w:p>
    <w:p>
      <w:pPr>
        <w:pBdr>
          <w:top w:space="5"/>
          <w:left w:space="5"/>
          <w:bottom w:space="5"/>
          <w:right w:space="5"/>
        </w:pBdr>
        <w:spacing w:after="0"/>
        <w:ind w:left="945"/>
        <w:jc w:val="left"/>
      </w:pPr>
      <w:r>
        <w:rPr>
          <w:rFonts w:ascii="Times New Roman" w:hAnsi="Times New Roman"/>
          <w:b w:val="false"/>
          <w:i w:val="false"/>
          <w:color w:val="000000"/>
          <w:sz w:val="22"/>
        </w:rPr>
        <w:t>(ii) Changing contract type</w:t>
      </w:r>
    </w:p>
    <w:p>
      <w:pPr>
        <w:pBdr>
          <w:top w:space="5"/>
          <w:left w:space="5"/>
          <w:bottom w:space="5"/>
          <w:right w:space="5"/>
        </w:pBdr>
        <w:spacing w:after="0"/>
        <w:ind w:left="945"/>
        <w:jc w:val="left"/>
      </w:pPr>
      <w:r>
        <w:rPr>
          <w:rFonts w:ascii="Times New Roman" w:hAnsi="Times New Roman"/>
          <w:b w:val="false"/>
          <w:i w:val="false"/>
          <w:color w:val="000000"/>
          <w:sz w:val="22"/>
        </w:rPr>
        <w:t>(iii) Changing contract share ratio</w:t>
      </w:r>
    </w:p>
    <w:p>
      <w:pPr>
        <w:pBdr>
          <w:top w:space="5"/>
          <w:left w:space="5"/>
          <w:bottom w:space="5"/>
          <w:right w:space="5"/>
        </w:pBdr>
        <w:spacing w:after="0"/>
        <w:ind w:left="945"/>
        <w:jc w:val="left"/>
      </w:pPr>
      <w:r>
        <w:rPr>
          <w:rFonts w:ascii="Times New Roman" w:hAnsi="Times New Roman"/>
          <w:b w:val="false"/>
          <w:i w:val="false"/>
          <w:color w:val="000000"/>
          <w:sz w:val="22"/>
        </w:rPr>
        <w:t>(iv) Major change in quantity</w:t>
      </w:r>
    </w:p>
    <w:p>
      <w:pPr>
        <w:pBdr>
          <w:top w:space="5"/>
          <w:left w:space="5"/>
          <w:bottom w:space="5"/>
          <w:right w:space="5"/>
        </w:pBdr>
        <w:spacing w:after="0"/>
        <w:ind w:left="945"/>
        <w:jc w:val="left"/>
      </w:pPr>
      <w:r>
        <w:rPr>
          <w:rFonts w:ascii="Times New Roman" w:hAnsi="Times New Roman"/>
          <w:b w:val="false"/>
          <w:i w:val="false"/>
          <w:color w:val="000000"/>
          <w:sz w:val="22"/>
        </w:rPr>
        <w:t>(v) Major change in requirements</w:t>
      </w:r>
    </w:p>
    <w:p>
      <w:pPr>
        <w:pBdr>
          <w:top w:space="5"/>
          <w:left w:space="5"/>
          <w:bottom w:space="5"/>
          <w:right w:space="5"/>
        </w:pBdr>
        <w:spacing w:after="0"/>
        <w:ind w:left="945"/>
        <w:jc w:val="left"/>
      </w:pPr>
      <w:r>
        <w:rPr>
          <w:rFonts w:ascii="Times New Roman" w:hAnsi="Times New Roman"/>
          <w:b w:val="false"/>
          <w:i w:val="false"/>
          <w:color w:val="000000"/>
          <w:sz w:val="22"/>
        </w:rPr>
        <w:t>(vi) Change to a significant term or condition</w:t>
      </w:r>
    </w:p>
    <w:p>
      <w:pPr>
        <w:pBdr>
          <w:top w:space="5"/>
          <w:left w:space="5"/>
          <w:bottom w:space="5"/>
          <w:right w:space="5"/>
        </w:pBdr>
        <w:spacing w:after="0"/>
        <w:ind w:left="945"/>
        <w:jc w:val="left"/>
      </w:pPr>
      <w:r>
        <w:rPr>
          <w:rFonts w:ascii="Times New Roman" w:hAnsi="Times New Roman"/>
          <w:b w:val="false"/>
          <w:i w:val="false"/>
          <w:color w:val="000000"/>
          <w:sz w:val="22"/>
        </w:rPr>
        <w:t>(vii) Addition or deletion of a significant term or condition</w:t>
      </w:r>
    </w:p>
    <w:p>
      <w:pPr>
        <w:pBdr>
          <w:top w:space="5"/>
          <w:left w:space="5"/>
          <w:bottom w:space="5"/>
          <w:right w:space="5"/>
        </w:pBdr>
        <w:spacing w:after="0"/>
        <w:ind w:left="945"/>
        <w:jc w:val="left"/>
      </w:pPr>
      <w:r>
        <w:rPr>
          <w:rFonts w:ascii="Times New Roman" w:hAnsi="Times New Roman"/>
          <w:b w:val="false"/>
          <w:i w:val="false"/>
          <w:color w:val="000000"/>
          <w:sz w:val="22"/>
        </w:rPr>
        <w:t>(viii) Solicitation amendments (non-administrative)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1191/KTFSApp/app/index.asp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