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**ID__AFFARS_pgi_5301_topic_35__ID**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5301.9001-93</w:t>
      </w:r>
      <w:r>
        <w:rPr>
          <w:rFonts w:ascii="Times New Roman" w:hAnsi="Times New Roman"/>
          <w:color w:val="000000"/>
          <w:sz w:val="31"/>
        </w:rPr>
        <w:t xml:space="preserve"> Clearance Documentation</w:t>
      </w:r>
    </w:p>
    <w:p>
      <w:pPr>
        <w:pBdr>
          <w:top w:space="5"/>
          <w:left w:space="5"/>
          <w:bottom w:space="5"/>
          <w:right w:space="5"/>
        </w:pBdr>
        <w:spacing w:after="0"/>
        <w:ind w:left="225"/>
        <w:jc w:val="left"/>
      </w:pPr>
      <w:r>
        <w:rPr>
          <w:rFonts w:ascii="Times New Roman" w:hAnsi="Times New Roman"/>
          <w:b w:val="false"/>
          <w:i w:val="false"/>
          <w:color w:val="000000"/>
          <w:sz w:val="22"/>
        </w:rPr>
        <w:t>Files submitted for clearance review should include, at a minimum, the following documentation. The list below is not totally inclusive.</w:t>
      </w:r>
    </w:p>
    <w:p>
      <w:pPr>
        <w:pBdr>
          <w:top w:space="5"/>
          <w:left w:space="5"/>
          <w:bottom w:space="5"/>
          <w:right w:space="5"/>
        </w:pBdr>
        <w:spacing w:after="0"/>
        <w:ind w:left="225"/>
        <w:jc w:val="left"/>
      </w:pPr>
      <w:r>
        <w:rPr>
          <w:rFonts w:ascii="Times New Roman" w:hAnsi="Times New Roman"/>
          <w:b w:val="false"/>
          <w:i w:val="false"/>
          <w:color w:val="000000"/>
          <w:sz w:val="22"/>
        </w:rPr>
        <w:t>(a) Business Clearance for competitive acquisitions requesting approval to issue the solicitation:</w:t>
      </w:r>
    </w:p>
    <w:p>
      <w:pPr>
        <w:pBdr>
          <w:top w:space="5"/>
          <w:left w:space="5"/>
          <w:bottom w:space="5"/>
          <w:right w:space="5"/>
        </w:pBdr>
        <w:spacing w:after="0"/>
        <w:ind w:left="585"/>
        <w:jc w:val="left"/>
      </w:pPr>
      <w:r>
        <w:rPr>
          <w:rFonts w:ascii="Times New Roman" w:hAnsi="Times New Roman"/>
          <w:b w:val="false"/>
          <w:i w:val="false"/>
          <w:color w:val="000000"/>
          <w:sz w:val="22"/>
        </w:rPr>
        <w:t>(1) Solicitation (and all amendments, if applicable) in chronological order</w:t>
      </w:r>
    </w:p>
    <w:p>
      <w:pPr>
        <w:pBdr>
          <w:top w:space="5"/>
          <w:left w:space="5"/>
          <w:bottom w:space="5"/>
          <w:right w:space="5"/>
        </w:pBdr>
        <w:spacing w:after="0"/>
        <w:ind w:left="585"/>
        <w:jc w:val="left"/>
      </w:pPr>
      <w:r>
        <w:rPr>
          <w:rFonts w:ascii="Times New Roman" w:hAnsi="Times New Roman"/>
          <w:b w:val="false"/>
          <w:i w:val="false"/>
          <w:color w:val="000000"/>
          <w:sz w:val="22"/>
        </w:rPr>
        <w:t>(2) Acquisition Plan (or other Acquisition Planning Documentation)/Acquisition Strategy (as applicable)</w:t>
      </w:r>
    </w:p>
    <w:p>
      <w:pPr>
        <w:pBdr>
          <w:top w:space="5"/>
          <w:left w:space="5"/>
          <w:bottom w:space="5"/>
          <w:right w:space="5"/>
        </w:pBdr>
        <w:spacing w:after="0"/>
        <w:ind w:left="585"/>
        <w:jc w:val="left"/>
      </w:pPr>
      <w:r>
        <w:rPr>
          <w:rFonts w:ascii="Times New Roman" w:hAnsi="Times New Roman"/>
          <w:b w:val="false"/>
          <w:i w:val="false"/>
          <w:color w:val="000000"/>
          <w:sz w:val="22"/>
        </w:rPr>
        <w:t>(3) J&amp;A (if for limited sources)</w:t>
      </w:r>
    </w:p>
    <w:p>
      <w:pPr>
        <w:pBdr>
          <w:top w:space="5"/>
          <w:left w:space="5"/>
          <w:bottom w:space="5"/>
          <w:right w:space="5"/>
        </w:pBdr>
        <w:spacing w:after="0"/>
        <w:ind w:left="585"/>
        <w:jc w:val="left"/>
      </w:pPr>
      <w:r>
        <w:rPr>
          <w:rFonts w:ascii="Times New Roman" w:hAnsi="Times New Roman"/>
          <w:b w:val="false"/>
          <w:i w:val="false"/>
          <w:color w:val="000000"/>
          <w:sz w:val="22"/>
        </w:rPr>
        <w:t>(4) Source Selection Plan (if applicable)</w:t>
      </w:r>
    </w:p>
    <w:p>
      <w:pPr>
        <w:pBdr>
          <w:top w:space="5"/>
          <w:left w:space="5"/>
          <w:bottom w:space="5"/>
          <w:right w:space="5"/>
        </w:pBdr>
        <w:spacing w:after="0"/>
        <w:ind w:left="585"/>
        <w:jc w:val="left"/>
      </w:pPr>
      <w:r>
        <w:rPr>
          <w:rFonts w:ascii="Times New Roman" w:hAnsi="Times New Roman"/>
          <w:b w:val="false"/>
          <w:i w:val="false"/>
          <w:color w:val="000000"/>
          <w:sz w:val="22"/>
        </w:rPr>
        <w:t>(5) Other applicable file items of the Contract File Content Checklist (e.g., Purchase Request, determinations, synopses, Award Fee/Incentive Plan, and if services, required documentation and Services Designated Official (SDO) approvals, and SSA briefing charts if available)</w:t>
      </w:r>
    </w:p>
    <w:p>
      <w:pPr>
        <w:pBdr>
          <w:top w:space="5"/>
          <w:left w:space="5"/>
          <w:bottom w:space="5"/>
          <w:right w:space="5"/>
        </w:pBdr>
        <w:spacing w:after="0"/>
        <w:ind w:left="585"/>
        <w:jc w:val="left"/>
      </w:pPr>
      <w:r>
        <w:rPr>
          <w:rFonts w:ascii="Times New Roman" w:hAnsi="Times New Roman"/>
          <w:b w:val="false"/>
          <w:i w:val="false"/>
          <w:color w:val="000000"/>
          <w:sz w:val="22"/>
        </w:rPr>
        <w:t>(6) Clearance briefing charts (if required by the CAA).</w:t>
      </w:r>
    </w:p>
    <w:p>
      <w:pPr>
        <w:pBdr>
          <w:top w:space="5"/>
          <w:left w:space="5"/>
          <w:bottom w:space="5"/>
          <w:right w:space="5"/>
        </w:pBdr>
        <w:spacing w:after="0"/>
        <w:ind w:left="225"/>
        <w:jc w:val="left"/>
      </w:pPr>
      <w:r>
        <w:rPr>
          <w:rFonts w:ascii="Times New Roman" w:hAnsi="Times New Roman"/>
          <w:b w:val="false"/>
          <w:i w:val="false"/>
          <w:color w:val="000000"/>
          <w:sz w:val="22"/>
        </w:rPr>
        <w:t>(b) Business Clearance for noncompetitive contract actions requesting approval to begin negotiations:</w:t>
      </w:r>
    </w:p>
    <w:p>
      <w:pPr>
        <w:pBdr>
          <w:top w:space="5"/>
          <w:left w:space="5"/>
          <w:bottom w:space="5"/>
          <w:right w:space="5"/>
        </w:pBdr>
        <w:spacing w:after="0"/>
        <w:ind w:left="585"/>
        <w:jc w:val="left"/>
      </w:pPr>
      <w:r>
        <w:rPr>
          <w:rFonts w:ascii="Times New Roman" w:hAnsi="Times New Roman"/>
          <w:b w:val="false"/>
          <w:i w:val="false"/>
          <w:color w:val="000000"/>
          <w:sz w:val="22"/>
        </w:rPr>
        <w:t>(1) J&amp;A, Fair Opportunity Exception, or Sole Source justification restricting consideration of schedule contractors (as applicable);</w:t>
      </w:r>
    </w:p>
    <w:p>
      <w:pPr>
        <w:pBdr>
          <w:top w:space="5"/>
          <w:left w:space="5"/>
          <w:bottom w:space="5"/>
          <w:right w:space="5"/>
        </w:pBdr>
        <w:spacing w:after="0"/>
        <w:ind w:left="585"/>
        <w:jc w:val="left"/>
      </w:pPr>
      <w:r>
        <w:rPr>
          <w:rFonts w:ascii="Times New Roman" w:hAnsi="Times New Roman"/>
          <w:b w:val="false"/>
          <w:i w:val="false"/>
          <w:color w:val="000000"/>
          <w:sz w:val="22"/>
        </w:rPr>
        <w:t>(2) Acquisition Plan/Acquisition Strategy (as applicable);</w:t>
      </w:r>
    </w:p>
    <w:p>
      <w:pPr>
        <w:pBdr>
          <w:top w:space="5"/>
          <w:left w:space="5"/>
          <w:bottom w:space="5"/>
          <w:right w:space="5"/>
        </w:pBdr>
        <w:spacing w:after="0"/>
        <w:ind w:left="585"/>
        <w:jc w:val="left"/>
      </w:pPr>
      <w:r>
        <w:rPr>
          <w:rFonts w:ascii="Times New Roman" w:hAnsi="Times New Roman"/>
          <w:b w:val="false"/>
          <w:i w:val="false"/>
          <w:color w:val="000000"/>
          <w:sz w:val="22"/>
        </w:rPr>
        <w:t>(3) In-scope determination for modifications to existing contracts;</w:t>
      </w:r>
    </w:p>
    <w:p>
      <w:pPr>
        <w:pBdr>
          <w:top w:space="5"/>
          <w:left w:space="5"/>
          <w:bottom w:space="5"/>
          <w:right w:space="5"/>
        </w:pBdr>
        <w:spacing w:after="0"/>
        <w:ind w:left="585"/>
        <w:jc w:val="left"/>
      </w:pPr>
      <w:r>
        <w:rPr>
          <w:rFonts w:ascii="Times New Roman" w:hAnsi="Times New Roman"/>
          <w:b w:val="false"/>
          <w:i w:val="false"/>
          <w:color w:val="000000"/>
          <w:sz w:val="22"/>
        </w:rPr>
        <w:t>(4) Request for Proposal;</w:t>
      </w:r>
    </w:p>
    <w:p>
      <w:pPr>
        <w:pBdr>
          <w:top w:space="5"/>
          <w:left w:space="5"/>
          <w:bottom w:space="5"/>
          <w:right w:space="5"/>
        </w:pBdr>
        <w:spacing w:after="0"/>
        <w:ind w:left="585"/>
        <w:jc w:val="left"/>
      </w:pPr>
      <w:r>
        <w:rPr>
          <w:rFonts w:ascii="Times New Roman" w:hAnsi="Times New Roman"/>
          <w:b w:val="false"/>
          <w:i w:val="false"/>
          <w:color w:val="000000"/>
          <w:sz w:val="22"/>
        </w:rPr>
        <w:t>(5) Contractor proposal (or pricelists/pricing/other required documentation for orders under FSS/multiple award contract vehicles);</w:t>
      </w:r>
    </w:p>
    <w:p>
      <w:pPr>
        <w:pBdr>
          <w:top w:space="5"/>
          <w:left w:space="5"/>
          <w:bottom w:space="5"/>
          <w:right w:space="5"/>
        </w:pBdr>
        <w:spacing w:after="0"/>
        <w:ind w:left="585"/>
        <w:jc w:val="left"/>
      </w:pPr>
      <w:r>
        <w:rPr>
          <w:rFonts w:ascii="Times New Roman" w:hAnsi="Times New Roman"/>
          <w:b w:val="false"/>
          <w:i w:val="false"/>
          <w:color w:val="000000"/>
          <w:sz w:val="22"/>
        </w:rPr>
        <w:t>(6) Preliminary Price Negotiation Memorandum (Pre-PNM).</w:t>
      </w:r>
    </w:p>
    <w:p>
      <w:pPr>
        <w:pBdr>
          <w:top w:space="5"/>
          <w:left w:space="5"/>
          <w:bottom w:space="5"/>
          <w:right w:space="5"/>
        </w:pBdr>
        <w:spacing w:after="0"/>
        <w:ind w:left="585"/>
        <w:jc w:val="left"/>
      </w:pPr>
      <w:r>
        <w:rPr>
          <w:rFonts w:ascii="Times New Roman" w:hAnsi="Times New Roman"/>
          <w:b w:val="false"/>
          <w:i w:val="false"/>
          <w:color w:val="000000"/>
          <w:sz w:val="22"/>
        </w:rPr>
        <w:t>(7) Signed technical evaluation with figures that track to both the proposal and Government objective position detailed in the Pre-PNM;</w:t>
      </w:r>
    </w:p>
    <w:p>
      <w:pPr>
        <w:pBdr>
          <w:top w:space="5"/>
          <w:left w:space="5"/>
          <w:bottom w:space="5"/>
          <w:right w:space="5"/>
        </w:pBdr>
        <w:spacing w:after="0"/>
        <w:ind w:left="585"/>
        <w:jc w:val="left"/>
      </w:pPr>
      <w:r>
        <w:rPr>
          <w:rFonts w:ascii="Times New Roman" w:hAnsi="Times New Roman"/>
          <w:b w:val="false"/>
          <w:i w:val="false"/>
          <w:color w:val="000000"/>
          <w:sz w:val="22"/>
        </w:rPr>
        <w:t>(8) Draft award document (including proposed Section B CLIN structure and applicable clauses and special contract requirements) if available. If the contract action involves a contract modification, include a copy of the contract (conformed, if appropriate). If the action is a noncompetitive order provide the basic contract ordering vehicle (if available). If an action is awarded under a Broad Agency Announcement (BAA), include the BAA solicitation and proposal evaluation/selection for award documentation in addition to other required file documentation;</w:t>
      </w:r>
    </w:p>
    <w:p>
      <w:pPr>
        <w:pBdr>
          <w:top w:space="5"/>
          <w:left w:space="5"/>
          <w:bottom w:space="5"/>
          <w:right w:space="5"/>
        </w:pBdr>
        <w:spacing w:after="0"/>
        <w:ind w:left="585"/>
        <w:jc w:val="left"/>
      </w:pPr>
      <w:r>
        <w:rPr>
          <w:rFonts w:ascii="Times New Roman" w:hAnsi="Times New Roman"/>
          <w:b w:val="false"/>
          <w:i w:val="false"/>
          <w:color w:val="000000"/>
          <w:sz w:val="22"/>
        </w:rPr>
        <w:t>(9) Other applicable file items in the Contract File Content Checklist (e.g., Purchase Request, determinations, synopses, Award Fee/Incentive Plan, technical evaluations, audits or field pricing reports, and if services, required documentation and SDO approvals);</w:t>
      </w:r>
    </w:p>
    <w:p>
      <w:pPr>
        <w:pBdr>
          <w:top w:space="5"/>
          <w:left w:space="5"/>
          <w:bottom w:space="5"/>
          <w:right w:space="5"/>
        </w:pBdr>
        <w:spacing w:after="0"/>
        <w:ind w:left="585"/>
        <w:jc w:val="left"/>
      </w:pPr>
      <w:r>
        <w:rPr>
          <w:rFonts w:ascii="Times New Roman" w:hAnsi="Times New Roman"/>
          <w:b w:val="false"/>
          <w:i w:val="false"/>
          <w:color w:val="000000"/>
          <w:sz w:val="22"/>
        </w:rPr>
        <w:t>(10) Clearance briefing charts (if required by the CAA).</w:t>
      </w:r>
    </w:p>
    <w:p>
      <w:pPr>
        <w:pBdr>
          <w:top w:space="5"/>
          <w:left w:space="5"/>
          <w:bottom w:space="5"/>
          <w:right w:space="5"/>
        </w:pBdr>
        <w:spacing w:after="0"/>
        <w:ind w:left="225"/>
        <w:jc w:val="left"/>
      </w:pPr>
      <w:r>
        <w:rPr>
          <w:rFonts w:ascii="Times New Roman" w:hAnsi="Times New Roman"/>
          <w:b w:val="false"/>
          <w:i w:val="false"/>
          <w:color w:val="000000"/>
          <w:sz w:val="22"/>
        </w:rPr>
        <w:t>(c) Contract Clearance for all competitive acquisitions with discussions requesting approval to request Final Proposal Revisions (FPRs):</w:t>
      </w:r>
    </w:p>
    <w:p>
      <w:pPr>
        <w:pBdr>
          <w:top w:space="5"/>
          <w:left w:space="5"/>
          <w:bottom w:space="5"/>
          <w:right w:space="5"/>
        </w:pBdr>
        <w:spacing w:after="0"/>
        <w:ind w:left="585"/>
        <w:jc w:val="left"/>
      </w:pPr>
      <w:r>
        <w:rPr>
          <w:rFonts w:ascii="Times New Roman" w:hAnsi="Times New Roman"/>
          <w:b w:val="false"/>
          <w:i w:val="false"/>
          <w:color w:val="000000"/>
          <w:sz w:val="22"/>
        </w:rPr>
        <w:t>(1) Contractors’ proposals (and all revisions and updates if applicable) in chronological order;</w:t>
      </w:r>
    </w:p>
    <w:p>
      <w:pPr>
        <w:pBdr>
          <w:top w:space="5"/>
          <w:left w:space="5"/>
          <w:bottom w:space="5"/>
          <w:right w:space="5"/>
        </w:pBdr>
        <w:spacing w:after="0"/>
        <w:ind w:left="585"/>
        <w:jc w:val="left"/>
      </w:pPr>
      <w:r>
        <w:rPr>
          <w:rFonts w:ascii="Times New Roman" w:hAnsi="Times New Roman"/>
          <w:b w:val="false"/>
          <w:i w:val="false"/>
          <w:color w:val="000000"/>
          <w:sz w:val="22"/>
        </w:rPr>
        <w:t>(2) Evaluation Notices, offerors’ responses, and government evaluation of responses;</w:t>
      </w:r>
    </w:p>
    <w:p>
      <w:pPr>
        <w:pBdr>
          <w:top w:space="5"/>
          <w:left w:space="5"/>
          <w:bottom w:space="5"/>
          <w:right w:space="5"/>
        </w:pBdr>
        <w:spacing w:after="0"/>
        <w:ind w:left="585"/>
        <w:jc w:val="left"/>
      </w:pPr>
      <w:r>
        <w:rPr>
          <w:rFonts w:ascii="Times New Roman" w:hAnsi="Times New Roman"/>
          <w:b w:val="false"/>
          <w:i w:val="false"/>
          <w:color w:val="000000"/>
          <w:sz w:val="22"/>
        </w:rPr>
        <w:t>(3) SSEB Initial Report;</w:t>
      </w:r>
    </w:p>
    <w:p>
      <w:pPr>
        <w:pBdr>
          <w:top w:space="5"/>
          <w:left w:space="5"/>
          <w:bottom w:space="5"/>
          <w:right w:space="5"/>
        </w:pBdr>
        <w:spacing w:after="0"/>
        <w:ind w:left="585"/>
        <w:jc w:val="left"/>
      </w:pPr>
      <w:r>
        <w:rPr>
          <w:rFonts w:ascii="Times New Roman" w:hAnsi="Times New Roman"/>
          <w:b w:val="false"/>
          <w:i w:val="false"/>
          <w:color w:val="000000"/>
          <w:sz w:val="22"/>
        </w:rPr>
        <w:t>(4) Signed technical evaluation;</w:t>
      </w:r>
    </w:p>
    <w:p>
      <w:pPr>
        <w:pBdr>
          <w:top w:space="5"/>
          <w:left w:space="5"/>
          <w:bottom w:space="5"/>
          <w:right w:space="5"/>
        </w:pBdr>
        <w:spacing w:after="0"/>
        <w:ind w:left="585"/>
        <w:jc w:val="left"/>
      </w:pPr>
      <w:r>
        <w:rPr>
          <w:rFonts w:ascii="Times New Roman" w:hAnsi="Times New Roman"/>
          <w:b w:val="false"/>
          <w:i w:val="false"/>
          <w:color w:val="000000"/>
          <w:sz w:val="22"/>
        </w:rPr>
        <w:t>(5) Draft determination of adequate price competition in accordance with FAR 15.403-1(c)(1)(i) (or price evaluation documentation for orders);</w:t>
      </w:r>
    </w:p>
    <w:p>
      <w:pPr>
        <w:pBdr>
          <w:top w:space="5"/>
          <w:left w:space="5"/>
          <w:bottom w:space="5"/>
          <w:right w:space="5"/>
        </w:pBdr>
        <w:spacing w:after="0"/>
        <w:ind w:left="585"/>
        <w:jc w:val="left"/>
      </w:pPr>
      <w:r>
        <w:rPr>
          <w:rFonts w:ascii="Times New Roman" w:hAnsi="Times New Roman"/>
          <w:b w:val="false"/>
          <w:i w:val="false"/>
          <w:color w:val="000000"/>
          <w:sz w:val="22"/>
        </w:rPr>
        <w:t>(6) Proposed request for Final Proposal Revisions;</w:t>
      </w:r>
    </w:p>
    <w:p>
      <w:pPr>
        <w:pBdr>
          <w:top w:space="5"/>
          <w:left w:space="5"/>
          <w:bottom w:space="5"/>
          <w:right w:space="5"/>
        </w:pBdr>
        <w:spacing w:after="0"/>
        <w:ind w:left="585"/>
        <w:jc w:val="left"/>
      </w:pPr>
      <w:r>
        <w:rPr>
          <w:rFonts w:ascii="Times New Roman" w:hAnsi="Times New Roman"/>
          <w:b w:val="false"/>
          <w:i w:val="false"/>
          <w:color w:val="000000"/>
          <w:sz w:val="22"/>
        </w:rPr>
        <w:t>(7) Other applicable file items in the Contract File Content Checklist (including all items required for Business Clearance, updated Award Fee/Incentive Plans, (if applicable) and if services, required documentation and SDO approvals, and SSA briefing charts, if available);</w:t>
      </w:r>
    </w:p>
    <w:p>
      <w:pPr>
        <w:pBdr>
          <w:top w:space="5"/>
          <w:left w:space="5"/>
          <w:bottom w:space="5"/>
          <w:right w:space="5"/>
        </w:pBdr>
        <w:spacing w:after="0"/>
        <w:ind w:left="585"/>
        <w:jc w:val="left"/>
      </w:pPr>
      <w:r>
        <w:rPr>
          <w:rFonts w:ascii="Times New Roman" w:hAnsi="Times New Roman"/>
          <w:b w:val="false"/>
          <w:i w:val="false"/>
          <w:color w:val="000000"/>
          <w:sz w:val="22"/>
        </w:rPr>
        <w:t>(8) Clearance briefing charts (if required by the CAA).</w:t>
      </w:r>
    </w:p>
    <w:p>
      <w:pPr>
        <w:pBdr>
          <w:top w:space="5"/>
          <w:left w:space="5"/>
          <w:bottom w:space="5"/>
          <w:right w:space="5"/>
        </w:pBdr>
        <w:spacing w:after="0"/>
        <w:ind w:left="225"/>
        <w:jc w:val="left"/>
      </w:pPr>
      <w:r>
        <w:rPr>
          <w:rFonts w:ascii="Times New Roman" w:hAnsi="Times New Roman"/>
          <w:b w:val="false"/>
          <w:i w:val="false"/>
          <w:color w:val="000000"/>
          <w:sz w:val="22"/>
        </w:rPr>
        <w:t>(d) Contract Clearance for all competitive acquisitions requesting approval for the Source Selection Authority to make a source selection decision (either with or without discussions):</w:t>
      </w:r>
    </w:p>
    <w:p>
      <w:pPr>
        <w:pBdr>
          <w:top w:space="5"/>
          <w:left w:space="5"/>
          <w:bottom w:space="5"/>
          <w:right w:space="5"/>
        </w:pBdr>
        <w:spacing w:after="0"/>
        <w:ind w:left="585"/>
        <w:jc w:val="left"/>
      </w:pPr>
      <w:r>
        <w:rPr>
          <w:rFonts w:ascii="Times New Roman" w:hAnsi="Times New Roman"/>
          <w:b w:val="false"/>
          <w:i w:val="false"/>
          <w:color w:val="000000"/>
          <w:sz w:val="22"/>
        </w:rPr>
        <w:t>(1) Contractors’ proposals (and all revisions and updates if applicable) in chronological order;</w:t>
      </w:r>
    </w:p>
    <w:p>
      <w:pPr>
        <w:pBdr>
          <w:top w:space="5"/>
          <w:left w:space="5"/>
          <w:bottom w:space="5"/>
          <w:right w:space="5"/>
        </w:pBdr>
        <w:spacing w:after="0"/>
        <w:ind w:left="585"/>
        <w:jc w:val="left"/>
      </w:pPr>
      <w:r>
        <w:rPr>
          <w:rFonts w:ascii="Times New Roman" w:hAnsi="Times New Roman"/>
          <w:b w:val="false"/>
          <w:i w:val="false"/>
          <w:color w:val="000000"/>
          <w:sz w:val="22"/>
        </w:rPr>
        <w:t>(2) Proposed award document(s) in ready to award format;</w:t>
      </w:r>
    </w:p>
    <w:p>
      <w:pPr>
        <w:pBdr>
          <w:top w:space="5"/>
          <w:left w:space="5"/>
          <w:bottom w:space="5"/>
          <w:right w:space="5"/>
        </w:pBdr>
        <w:spacing w:after="0"/>
        <w:ind w:left="585"/>
        <w:jc w:val="left"/>
      </w:pPr>
      <w:r>
        <w:rPr>
          <w:rFonts w:ascii="Times New Roman" w:hAnsi="Times New Roman"/>
          <w:b w:val="false"/>
          <w:i w:val="false"/>
          <w:color w:val="000000"/>
          <w:sz w:val="22"/>
        </w:rPr>
        <w:t>(3) Signed SSEB Report (or price evaluation documentation for orders);</w:t>
      </w:r>
    </w:p>
    <w:p>
      <w:pPr>
        <w:pBdr>
          <w:top w:space="5"/>
          <w:left w:space="5"/>
          <w:bottom w:space="5"/>
          <w:right w:space="5"/>
        </w:pBdr>
        <w:spacing w:after="0"/>
        <w:ind w:left="585"/>
        <w:jc w:val="left"/>
      </w:pPr>
      <w:r>
        <w:rPr>
          <w:rFonts w:ascii="Times New Roman" w:hAnsi="Times New Roman"/>
          <w:b w:val="false"/>
          <w:i w:val="false"/>
          <w:color w:val="000000"/>
          <w:sz w:val="22"/>
        </w:rPr>
        <w:t>(4) Signed technical evaluation;</w:t>
      </w:r>
    </w:p>
    <w:p>
      <w:pPr>
        <w:pBdr>
          <w:top w:space="5"/>
          <w:left w:space="5"/>
          <w:bottom w:space="5"/>
          <w:right w:space="5"/>
        </w:pBdr>
        <w:spacing w:after="0"/>
        <w:ind w:left="585"/>
        <w:jc w:val="left"/>
      </w:pPr>
      <w:r>
        <w:rPr>
          <w:rFonts w:ascii="Times New Roman" w:hAnsi="Times New Roman"/>
          <w:b w:val="false"/>
          <w:i w:val="false"/>
          <w:color w:val="000000"/>
          <w:sz w:val="22"/>
        </w:rPr>
        <w:t>(5) Determination of adequate price competition in accordance with FAR 15.403-1(c)(1)(i) (or price evaluation documentation for orders);</w:t>
      </w:r>
    </w:p>
    <w:p>
      <w:pPr>
        <w:pBdr>
          <w:top w:space="5"/>
          <w:left w:space="5"/>
          <w:bottom w:space="5"/>
          <w:right w:space="5"/>
        </w:pBdr>
        <w:spacing w:after="0"/>
        <w:ind w:left="585"/>
        <w:jc w:val="left"/>
      </w:pPr>
      <w:r>
        <w:rPr>
          <w:rFonts w:ascii="Times New Roman" w:hAnsi="Times New Roman"/>
          <w:b w:val="false"/>
          <w:i w:val="false"/>
          <w:color w:val="000000"/>
          <w:sz w:val="22"/>
        </w:rPr>
        <w:t>(6) Other applicable file items in the Contract File Content Checklist (including all items required for Business Clearance, updated Award Fee/Incentive Plans, (if applicable) and if services, required documentation and SDO approvals, and SSA briefing charts, if available);</w:t>
      </w:r>
    </w:p>
    <w:p>
      <w:pPr>
        <w:pBdr>
          <w:top w:space="5"/>
          <w:left w:space="5"/>
          <w:bottom w:space="5"/>
          <w:right w:space="5"/>
        </w:pBdr>
        <w:spacing w:after="0"/>
        <w:ind w:left="585"/>
        <w:jc w:val="left"/>
      </w:pPr>
      <w:r>
        <w:rPr>
          <w:rFonts w:ascii="Times New Roman" w:hAnsi="Times New Roman"/>
          <w:b w:val="false"/>
          <w:i w:val="false"/>
          <w:color w:val="000000"/>
          <w:sz w:val="22"/>
        </w:rPr>
        <w:t>(7) Clearance briefing charts (if required by the CAA).</w:t>
      </w:r>
    </w:p>
    <w:p>
      <w:pPr>
        <w:pBdr>
          <w:top w:space="5"/>
          <w:left w:space="5"/>
          <w:bottom w:space="5"/>
          <w:right w:space="5"/>
        </w:pBdr>
        <w:spacing w:after="0"/>
        <w:ind w:left="225"/>
        <w:jc w:val="left"/>
      </w:pPr>
      <w:r>
        <w:rPr>
          <w:rFonts w:ascii="Times New Roman" w:hAnsi="Times New Roman"/>
          <w:b w:val="false"/>
          <w:i w:val="false"/>
          <w:color w:val="000000"/>
          <w:sz w:val="22"/>
        </w:rPr>
        <w:t>(e) Contract Clearance for all noncompetitive contract actions requesting approval to award:</w:t>
      </w:r>
    </w:p>
    <w:p>
      <w:pPr>
        <w:pBdr>
          <w:top w:space="5"/>
          <w:left w:space="5"/>
          <w:bottom w:space="5"/>
          <w:right w:space="5"/>
        </w:pBdr>
        <w:spacing w:after="0"/>
        <w:ind w:left="585"/>
        <w:jc w:val="left"/>
      </w:pPr>
      <w:r>
        <w:rPr>
          <w:rFonts w:ascii="Times New Roman" w:hAnsi="Times New Roman"/>
          <w:b w:val="false"/>
          <w:i w:val="false"/>
          <w:color w:val="000000"/>
          <w:sz w:val="22"/>
        </w:rPr>
        <w:t>(1) Proposed award document; if the contract action involves a contract modification include a copy of the contract (conformed, if appropriate). If the action is a noncompetitive order provide the basic contract ordering vehicle (if available). If an action is awarded under a BAA, include the BAA solicitation and proposal evaluation/selection for award documentation in addition to other required tab documentation;</w:t>
      </w:r>
    </w:p>
    <w:p>
      <w:pPr>
        <w:pBdr>
          <w:top w:space="5"/>
          <w:left w:space="5"/>
          <w:bottom w:space="5"/>
          <w:right w:space="5"/>
        </w:pBdr>
        <w:spacing w:after="0"/>
        <w:ind w:left="585"/>
        <w:jc w:val="left"/>
      </w:pPr>
      <w:r>
        <w:rPr>
          <w:rFonts w:ascii="Times New Roman" w:hAnsi="Times New Roman"/>
          <w:b w:val="false"/>
          <w:i w:val="false"/>
          <w:color w:val="000000"/>
          <w:sz w:val="22"/>
        </w:rPr>
        <w:t>(2) Signed PNM that complies with FAR 15.406-1 (or price evaluation documentation for orders);</w:t>
      </w:r>
    </w:p>
    <w:p>
      <w:pPr>
        <w:pBdr>
          <w:top w:space="5"/>
          <w:left w:space="5"/>
          <w:bottom w:space="5"/>
          <w:right w:space="5"/>
        </w:pBdr>
        <w:spacing w:after="0"/>
        <w:ind w:left="585"/>
        <w:jc w:val="left"/>
      </w:pPr>
      <w:r>
        <w:rPr>
          <w:rFonts w:ascii="Times New Roman" w:hAnsi="Times New Roman"/>
          <w:b w:val="false"/>
          <w:i w:val="false"/>
          <w:color w:val="000000"/>
          <w:sz w:val="22"/>
        </w:rPr>
        <w:t>(3) Signed technical evaluation with figures that track to both the proposal and Government objective position detailed in the PNM;</w:t>
      </w:r>
    </w:p>
    <w:p>
      <w:pPr>
        <w:pBdr>
          <w:top w:space="5"/>
          <w:left w:space="5"/>
          <w:bottom w:space="5"/>
          <w:right w:space="5"/>
        </w:pBdr>
        <w:spacing w:after="0"/>
        <w:ind w:left="585"/>
        <w:jc w:val="left"/>
      </w:pPr>
      <w:r>
        <w:rPr>
          <w:rFonts w:ascii="Times New Roman" w:hAnsi="Times New Roman"/>
          <w:b w:val="false"/>
          <w:i w:val="false"/>
          <w:color w:val="000000"/>
          <w:sz w:val="22"/>
        </w:rPr>
        <w:t>(4) Other applicable file items in the Contract File Content Checklist (including all items required for Business Clearance, plus the Certificate of Current Cost or Pricing Data, audits or field pricing reports not previously included in the file (as applicable), and Congressional Notification, if applicable);</w:t>
      </w:r>
    </w:p>
    <w:p>
      <w:pPr>
        <w:pBdr>
          <w:top w:space="5"/>
          <w:left w:space="5"/>
          <w:bottom w:space="5"/>
          <w:right w:space="5"/>
        </w:pBdr>
        <w:spacing w:after="0"/>
        <w:ind w:left="585"/>
        <w:jc w:val="left"/>
      </w:pPr>
      <w:r>
        <w:rPr>
          <w:rFonts w:ascii="Times New Roman" w:hAnsi="Times New Roman"/>
          <w:b w:val="false"/>
          <w:i w:val="false"/>
          <w:color w:val="000000"/>
          <w:sz w:val="22"/>
        </w:rPr>
        <w:t>(5) Clearance briefing charts (if required by the CAA).</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