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**ID__AFFARS_pgi_5301_topic_39__ID**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AFRC PGI 5301.601-91</w:t>
      </w:r>
      <w:r>
        <w:rPr>
          <w:rFonts w:ascii="Times New Roman" w:hAnsi="Times New Roman"/>
          <w:color w:val="000000"/>
          <w:sz w:val="31"/>
        </w:rPr>
        <w:t xml:space="preserve"> Air Force Contracting Self-Inspection Program</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accordance with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AFI90-201,</w:t>
        </w:r>
        <w:r>
          <w:rPr>
            <w:rFonts w:ascii="Times New Roman" w:hAnsi="Times New Roman"/>
            <w:b w:val="false"/>
            <w:i w:val="false"/>
            <w:color w:val="0000ff"/>
            <w:sz w:val="22"/>
            <w:u w:val="single"/>
          </w:rPr>
          <w:t xml:space="preserve"> </w:t>
        </w:r>
        <w:r>
          <w:rPr>
            <w:rFonts w:ascii="Times New Roman" w:hAnsi="Times New Roman"/>
            <w:b w:val="false"/>
            <w:i/>
            <w:color w:val="0000ff"/>
            <w:sz w:val="22"/>
            <w:u w:val="single"/>
          </w:rPr>
          <w:t>The Air Force Inspection System</w:t>
        </w:r>
      </w:hyperlink>
      <w:r>
        <w:rPr>
          <w:rFonts w:ascii="Times New Roman" w:hAnsi="Times New Roman"/>
          <w:b w:val="false"/>
          <w:i w:val="false"/>
          <w:color w:val="000000"/>
          <w:sz w:val="22"/>
        </w:rPr>
        <w:t xml:space="preserve"> and AFFARS MP5301.601-91, </w:t>
      </w:r>
      <w:r>
        <w:rPr>
          <w:rFonts w:ascii="Times New Roman" w:hAnsi="Times New Roman"/>
          <w:b w:val="false"/>
          <w:i/>
          <w:color w:val="000000"/>
          <w:sz w:val="22"/>
        </w:rPr>
        <w:t>Air Force Contracting Self-Inspection Program</w:t>
      </w:r>
      <w:r>
        <w:rPr>
          <w:rFonts w:ascii="Times New Roman" w:hAnsi="Times New Roman"/>
          <w:b w:val="false"/>
          <w:i w:val="false"/>
          <w:color w:val="000000"/>
          <w:sz w:val="22"/>
        </w:rPr>
        <w:t xml:space="preserve">, all contracting offices/squadrons will have a Self-Inspection Program (SIP) that assesses contract files and management programs. This PGI establishes the standardized process for performing self-inspections of contract actions/files and support the AFRC Chief of Contracting in the completion of both the </w:t>
      </w:r>
      <w:r>
        <w:rPr>
          <w:rFonts w:ascii="Times New Roman" w:hAnsi="Times New Roman"/>
          <w:b w:val="false"/>
          <w:i/>
          <w:color w:val="000000"/>
          <w:sz w:val="22"/>
        </w:rPr>
        <w:t>Air Force Contracting Self-Assessment Communicator</w:t>
      </w:r>
      <w:r>
        <w:rPr>
          <w:rFonts w:ascii="Times New Roman" w:hAnsi="Times New Roman"/>
          <w:b w:val="false"/>
          <w:i w:val="false"/>
          <w:color w:val="000000"/>
          <w:sz w:val="22"/>
        </w:rPr>
        <w:t xml:space="preserve"> (AQC 2) and </w:t>
      </w:r>
      <w:r>
        <w:rPr>
          <w:rFonts w:ascii="Times New Roman" w:hAnsi="Times New Roman"/>
          <w:b w:val="false"/>
          <w:i/>
          <w:color w:val="000000"/>
          <w:sz w:val="22"/>
        </w:rPr>
        <w:t>Air Force Operational Contracting Self-Assessment Communicator for Operational Contracting Squadrons Only</w:t>
      </w:r>
      <w:r>
        <w:rPr>
          <w:rFonts w:ascii="Times New Roman" w:hAnsi="Times New Roman"/>
          <w:b w:val="false"/>
          <w:i w:val="false"/>
          <w:color w:val="000000"/>
          <w:sz w:val="22"/>
        </w:rPr>
        <w:t xml:space="preserve"> (AQC 3), both of which are found in the </w:t>
      </w:r>
      <w:hyperlink r:id="rId5">
        <w:r>
          <w:rPr>
            <w:rStyle w:val="Hyperlink"/>
            <w:rFonts w:ascii="Times New Roman" w:hAnsi="Times New Roman"/>
            <w:b w:val="false"/>
            <w:i w:val="false"/>
            <w:color w:val="0000ff"/>
            <w:sz w:val="22"/>
            <w:u w:val="single"/>
          </w:rPr>
          <w:t/>
        </w:r>
        <w:r>
          <w:rPr>
            <w:rFonts w:ascii="Times New Roman" w:hAnsi="Times New Roman"/>
            <w:b w:val="false"/>
            <w:i/>
            <w:color w:val="0000ff"/>
            <w:sz w:val="22"/>
            <w:u w:val="single"/>
          </w:rPr>
          <w:t>Management Internal Control Toolset</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(MICT)</w:t>
        </w:r>
      </w:hyperlink>
      <w:r>
        <w:rPr>
          <w:rFonts w:ascii="Times New Roman" w:hAnsi="Times New Roman"/>
          <w:b w:val="false"/>
          <w:i w:val="false"/>
          <w:color w:val="000000"/>
          <w:sz w:val="22"/>
        </w:rPr>
        <w:t xml:space="preserve"> system.</w:t>
      </w:r>
    </w:p>
    <w:p>
      <w:pPr>
        <w:pBdr>
          <w:top w:space="5"/>
          <w:left w:space="5"/>
          <w:bottom w:space="5"/>
          <w:right w:space="5"/>
        </w:pBdr>
        <w:spacing w:after="0"/>
        <w:ind w:left="225"/>
        <w:jc w:val="left"/>
      </w:pPr>
      <w:r>
        <w:rPr>
          <w:rFonts w:ascii="Times New Roman" w:hAnsi="Times New Roman"/>
          <w:b w:val="false"/>
          <w:i w:val="false"/>
          <w:color w:val="000000"/>
          <w:sz w:val="22"/>
        </w:rPr>
        <w:t>Each contracting office is responsible for ensuring its contract actions reflect good business judgment and comply with applicable statutes, regulations and policies. The self-inspection process includes the selection of previously awarded and/or completed contract actions, both above and below prescribed clearance review thresholds, for review by the office’s Self-Inspection Program (SIP) Team. Through review of previous contract actions and gap analysis, the identification of best practices, trends or areas of concern (AOCs) should result in recommendations for sharing lessons learned, recommended areas for improvement (i.e., RIAs) and/or the development of corrective action plans (CAPs). The process is iterative and requires proactive trend and issue identification with the goal of improving the quality of the resultant contract files as well as the overall acquisition health of the unit.</w:t>
      </w:r>
    </w:p>
    <w:p>
      <w:pPr>
        <w:pBdr>
          <w:top w:space="5"/>
          <w:left w:space="5"/>
          <w:bottom w:space="5"/>
          <w:right w:space="5"/>
        </w:pBdr>
        <w:spacing w:after="0"/>
        <w:ind w:left="225"/>
        <w:jc w:val="left"/>
      </w:pPr>
      <w:r>
        <w:rPr>
          <w:rFonts w:ascii="Times New Roman" w:hAnsi="Times New Roman"/>
          <w:b w:val="false"/>
          <w:i w:val="false"/>
          <w:color w:val="000000"/>
          <w:sz w:val="22"/>
        </w:rPr>
        <w:t xml:space="preserve">The Chief of Contracting (COCO) is responsible for the Contracting Office’s overall Self-Inspection Program, which includes both the assessment of individual contract files and the assessment of contracting management programs. This position is also responsible for entry, review, and monitoring of MICT. The COCO also has overall responsibility for the self-inspection process to include use of appropriate checklists, worksheets or other tools, collation of self-inspection data, completion of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Unit Self-Inspection Report</w:t>
        </w:r>
        <w:r>
          <w:rPr>
            <w:rFonts w:ascii="Times New Roman" w:hAnsi="Times New Roman"/>
            <w:b w:val="false"/>
            <w:i w:val="false"/>
            <w:color w:val="0000ff"/>
            <w:sz w:val="22"/>
            <w:u w:val="single"/>
          </w:rPr>
          <w:t xml:space="preserve"> </w:t>
        </w:r>
      </w:hyperlink>
      <w:r>
        <w:rPr>
          <w:rFonts w:ascii="Times New Roman" w:hAnsi="Times New Roman"/>
          <w:b w:val="false"/>
          <w:i w:val="false"/>
          <w:color w:val="000000"/>
          <w:sz w:val="22"/>
        </w:rPr>
        <w:t xml:space="preserve">and submission of the report within MICT. The COCO flags all Critical, Significant, and Minor deficiencies as well as identifies any trends resulting from the unit inspection. Unless otherwise directed by their senior functional leadership, MAJCOM, or Wing’s policy, COCOs can exercise their own discretion in deciding the interval of their self-inspections/assessments. However, at a minimum, all AFRC Contracting Offices shall perform an annual self-inspection which shall be completed </w:t>
      </w:r>
      <w:r>
        <w:rPr>
          <w:rFonts w:ascii="Times New Roman" w:hAnsi="Times New Roman"/>
          <w:b w:val="false"/>
          <w:i w:val="false"/>
          <w:color w:val="000000"/>
          <w:sz w:val="22"/>
          <w:u w:val="single"/>
        </w:rPr>
        <w:t>NLT 15 November</w:t>
      </w:r>
      <w:r>
        <w:rPr>
          <w:rFonts w:ascii="Times New Roman" w:hAnsi="Times New Roman"/>
          <w:b w:val="false"/>
          <w:i w:val="false"/>
          <w:color w:val="000000"/>
          <w:sz w:val="22"/>
        </w:rPr>
        <w:t>. The Inspection results and individual review sheets as well as a trend analysis will be uploaded to a designated folder on the HQ AFRC PK SharePoint.</w:t>
      </w:r>
    </w:p>
    <w:p>
      <w:pPr>
        <w:pBdr>
          <w:top w:space="5"/>
          <w:left w:space="5"/>
          <w:bottom w:space="5"/>
          <w:right w:space="5"/>
        </w:pBdr>
        <w:spacing w:after="0"/>
        <w:ind w:left="225"/>
        <w:jc w:val="left"/>
      </w:pPr>
      <w:r>
        <w:rPr>
          <w:rFonts w:ascii="Times New Roman" w:hAnsi="Times New Roman"/>
          <w:b w:val="false"/>
          <w:i w:val="false"/>
          <w:color w:val="000000"/>
          <w:sz w:val="22"/>
        </w:rPr>
        <w:t xml:space="preserve">Based on the volume and complexity of actions to be reviewed, the COCO assigns an appropriate number of assessors to complete the self-inspection, to include entry of all required data into the appropriate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AFRC</w:t>
        </w:r>
        <w:r>
          <w:rPr>
            <w:rFonts w:ascii="Times New Roman" w:hAnsi="Times New Roman"/>
            <w:b w:val="false"/>
            <w:i w:val="false"/>
            <w:color w:val="0000ff"/>
            <w:sz w:val="22"/>
            <w:u w:val="single"/>
          </w:rPr>
          <w:t xml:space="preserve"> </w:t>
        </w:r>
        <w:r>
          <w:rPr>
            <w:rFonts w:ascii="Times New Roman" w:hAnsi="Times New Roman"/>
            <w:b w:val="false"/>
            <w:i w:val="false"/>
            <w:color w:val="0000ff"/>
            <w:sz w:val="22"/>
            <w:u w:val="single"/>
          </w:rPr>
          <w:t>Self-Inspection Worksheet</w:t>
        </w:r>
      </w:hyperlink>
      <w:r>
        <w:rPr>
          <w:rFonts w:ascii="Times New Roman" w:hAnsi="Times New Roman"/>
          <w:b w:val="false"/>
          <w:i w:val="false"/>
          <w:color w:val="000000"/>
          <w:sz w:val="22"/>
        </w:rPr>
        <w:t xml:space="preserve"> tabs and </w:t>
      </w:r>
      <w:hyperlink r:id="rId8">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 Self Inspection Checklist</w:t>
        </w:r>
      </w:hyperlink>
      <w:r>
        <w:rPr>
          <w:rFonts w:ascii="Times New Roman" w:hAnsi="Times New Roman"/>
          <w:b w:val="false"/>
          <w:i w:val="false"/>
          <w:color w:val="000000"/>
          <w:sz w:val="22"/>
        </w:rPr>
        <w:t>, analysis of self-inspection data (including subjective observations/comments), culminated by the completion of the written report.</w:t>
      </w:r>
    </w:p>
    <w:p>
      <w:pPr>
        <w:pBdr>
          <w:top w:space="5"/>
          <w:left w:space="5"/>
          <w:bottom w:space="5"/>
          <w:right w:space="5"/>
        </w:pBdr>
        <w:spacing w:after="0"/>
        <w:ind w:left="225"/>
        <w:jc w:val="left"/>
      </w:pPr>
      <w:r>
        <w:rPr>
          <w:rFonts w:ascii="Times New Roman" w:hAnsi="Times New Roman"/>
          <w:b w:val="false"/>
          <w:i w:val="false"/>
          <w:color w:val="000000"/>
          <w:sz w:val="22"/>
        </w:rPr>
        <w:t>The assigned assessors should possess the minimum requisite skill level of APDP Level II in Contracting and have no less than five years of experience in the contracting career field. Reviews should be done by a PCO (and may be supported by a buyer). The intent/role of the buyer is to provide a mentoring experience for junior contracting personnel to facilitate both thorough inspections and a culture of learning and professional growth. PCOs may only review files within the scope/limit of their individual warrant. The reviewer is responsible for verifying discrepancies are corrected/fixed prior to submitting the completed inspection review sheets to the COCO. Any findings will be corrected/fixed prior to submitting/uploading the completed inspection review sheets.</w:t>
      </w:r>
    </w:p>
    <w:p>
      <w:pPr>
        <w:pBdr>
          <w:top w:space="5"/>
          <w:left w:space="5"/>
          <w:bottom w:space="5"/>
          <w:right w:space="5"/>
        </w:pBdr>
        <w:spacing w:after="0"/>
        <w:ind w:left="225"/>
        <w:jc w:val="left"/>
      </w:pPr>
      <w:r>
        <w:rPr>
          <w:rFonts w:ascii="Times New Roman" w:hAnsi="Times New Roman"/>
          <w:b w:val="false"/>
          <w:i w:val="false"/>
          <w:color w:val="000000"/>
          <w:sz w:val="22"/>
        </w:rPr>
        <w:t>When required, the assessors will brief the results of the self-inspection, to include open observations, corrective actions, repeat findings and all pertinent information to the COCO and/or SCO or designee (reporting requirements are determined by the SCO).</w:t>
      </w:r>
    </w:p>
    <w:p>
      <w:pPr>
        <w:pBdr>
          <w:top w:space="5"/>
          <w:left w:space="5"/>
          <w:bottom w:space="5"/>
          <w:right w:space="5"/>
        </w:pBdr>
        <w:spacing w:after="0"/>
        <w:ind w:left="225"/>
        <w:jc w:val="left"/>
      </w:pPr>
      <w:r>
        <w:rPr>
          <w:rFonts w:ascii="Times New Roman" w:hAnsi="Times New Roman"/>
          <w:b w:val="false"/>
          <w:i w:val="false"/>
          <w:color w:val="000000"/>
          <w:sz w:val="22"/>
        </w:rPr>
        <w:t xml:space="preserve">Assigned assessors should assess contract actions/files using the applicable portions of the </w:t>
      </w:r>
      <w:hyperlink r:id="rId9">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Air Force Contracting Self-Inspection Checklist</w:t>
        </w:r>
      </w:hyperlink>
      <w:r>
        <w:rPr>
          <w:rFonts w:ascii="Times New Roman" w:hAnsi="Times New Roman"/>
          <w:b w:val="false"/>
          <w:i w:val="false"/>
          <w:color w:val="000000"/>
          <w:sz w:val="22"/>
        </w:rPr>
        <w:t xml:space="preserve"> and whenever possible, teams should utilize the self-inspection capability of </w:t>
      </w:r>
      <w:hyperlink r:id="rId10">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KTFileShare</w:t>
        </w:r>
      </w:hyperlink>
      <w:r>
        <w:rPr>
          <w:rFonts w:ascii="Times New Roman" w:hAnsi="Times New Roman"/>
          <w:b w:val="false"/>
          <w:i w:val="false"/>
          <w:color w:val="000000"/>
          <w:sz w:val="22"/>
        </w:rPr>
        <w:t xml:space="preserve"> to assist them in completing the Unit Self-Inspection Report. At a minimum, assessors will review the specified number of contract actions (by type) for the current or previous fiscal year (not to exceed 12 months prior to the date of the self-inspection unless a review of the basic contract is necessary) in accordance with the table below.</w:t>
      </w:r>
    </w:p>
    <w:p>
      <w:pPr>
        <w:pBdr>
          <w:top w:space="5"/>
          <w:left w:space="5"/>
          <w:bottom w:space="5"/>
          <w:right w:space="5"/>
        </w:pBdr>
        <w:spacing w:after="0"/>
        <w:ind w:left="225"/>
        <w:jc w:val="left"/>
      </w:pPr>
      <w:r>
        <w:rPr>
          <w:rFonts w:ascii="Times New Roman" w:hAnsi="Times New Roman"/>
          <w:b/>
          <w:i w:val="false"/>
          <w:color w:val="000000"/>
          <w:sz w:val="22"/>
        </w:rPr>
        <w:t>AFRC Self-Inspection Program - Minimum Action Review Requirements</w:t>
      </w:r>
    </w:p>
    <w:p>
      <w:pPr>
        <w:spacing w:after="0"/>
        <w:ind w:left="120"/>
        <w:jc w:val="left"/>
      </w:pP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210"/>
        <w:gridCol w:w="4344"/>
        <w:gridCol w:w="5020"/>
      </w:tblGrid>
      <w:tr>
        <w:trPr>
          <w:trHeight w:val="109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If the Action type* is: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And the</w:t>
            </w:r>
            <w:r>
              <w:rPr>
                <w:rFonts w:ascii="Times New Roman" w:hAnsi="Times New Roman"/>
                <w:b w:val="false"/>
                <w:i w:val="false"/>
                <w:color w:val="000000"/>
                <w:sz w:val="22"/>
              </w:rPr>
              <w:t xml:space="preserve"> </w:t>
            </w:r>
            <w:r>
              <w:rPr>
                <w:rFonts w:ascii="Times New Roman" w:hAnsi="Times New Roman"/>
                <w:b/>
                <w:i w:val="false"/>
                <w:color w:val="000000"/>
                <w:sz w:val="22"/>
                <w:u w:val="single"/>
              </w:rPr>
              <w:t>Total</w:t>
            </w:r>
            <w:r>
              <w:rPr>
                <w:rFonts w:ascii="Times New Roman" w:hAnsi="Times New Roman"/>
                <w:b/>
                <w:i w:val="false"/>
                <w:color w:val="000000"/>
                <w:sz w:val="22"/>
              </w:rPr>
              <w:t>Number of Actions for the previous FY or 12 mos is:</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Minimum Number of Actions (by type) to Be Reviewed Is:</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multiple award ID/IQ task/delivery 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6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Non-Competitive Awards</w:t>
            </w:r>
          </w:p>
          <w:p>
            <w:pPr>
              <w:pBdr>
                <w:top w:space="5"/>
                <w:left w:space="5"/>
                <w:bottom w:space="5"/>
                <w:right w:space="5"/>
              </w:pBdr>
              <w:spacing w:after="0"/>
              <w:ind w:left="960"/>
              <w:jc w:val="left"/>
            </w:pPr>
            <w:r>
              <w:rPr>
                <w:rFonts w:ascii="Times New Roman" w:hAnsi="Times New Roman"/>
                <w:b w:val="false"/>
                <w:i w:val="false"/>
                <w:color w:val="000000"/>
                <w:sz w:val="22"/>
              </w:rPr>
              <w:t>(including orders issued citing a Fair Opportunity Exception, 8(a) SB set-asides and other mandatory or designated sources)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Modifications</w:t>
            </w:r>
          </w:p>
          <w:p>
            <w:pPr>
              <w:pBdr>
                <w:top w:space="5"/>
                <w:left w:space="5"/>
                <w:bottom w:space="5"/>
                <w:right w:space="5"/>
              </w:pBdr>
              <w:spacing w:after="0"/>
              <w:ind w:left="240"/>
              <w:jc w:val="left"/>
            </w:pPr>
            <w:r>
              <w:rPr>
                <w:rFonts w:ascii="Times New Roman" w:hAnsi="Times New Roman"/>
                <w:b w:val="false"/>
                <w:i w:val="false"/>
                <w:color w:val="000000"/>
                <w:sz w:val="22"/>
              </w:rPr>
              <w:t>(other than administrative)</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BPAs, BOAs and associated Calls/Orders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2025" w:hRule="atLeast"/>
        </w:trPr>
        <w:tc>
          <w:tcPr>
            <w:tcW w:w="421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Terminations, UCAs, Protests, Ratifications and other extraordinary contract actions</w:t>
            </w:r>
          </w:p>
        </w:tc>
        <w:tc>
          <w:tcPr>
            <w:tcW w:w="434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1 – 25</w:t>
            </w:r>
          </w:p>
          <w:p>
            <w:pPr>
              <w:pBdr>
                <w:top w:space="5"/>
                <w:left w:space="5"/>
                <w:bottom w:space="5"/>
                <w:right w:space="5"/>
              </w:pBdr>
              <w:spacing w:after="0"/>
              <w:ind w:left="240"/>
              <w:jc w:val="left"/>
            </w:pPr>
            <w:r>
              <w:rPr>
                <w:rFonts w:ascii="Times New Roman" w:hAnsi="Times New Roman"/>
                <w:b w:val="false"/>
                <w:i w:val="false"/>
                <w:color w:val="000000"/>
                <w:sz w:val="22"/>
              </w:rPr>
              <w:t>26 – 50</w:t>
            </w:r>
          </w:p>
          <w:p>
            <w:pPr>
              <w:pBdr>
                <w:top w:space="5"/>
                <w:left w:space="5"/>
                <w:bottom w:space="5"/>
                <w:right w:space="5"/>
              </w:pBdr>
              <w:spacing w:after="0"/>
              <w:ind w:left="240"/>
              <w:jc w:val="left"/>
            </w:pPr>
            <w:r>
              <w:rPr>
                <w:rFonts w:ascii="Times New Roman" w:hAnsi="Times New Roman"/>
                <w:b w:val="false"/>
                <w:i w:val="false"/>
                <w:color w:val="000000"/>
                <w:sz w:val="22"/>
              </w:rPr>
              <w:t>Over 50</w:t>
            </w:r>
          </w:p>
        </w:tc>
        <w:tc>
          <w:tcPr>
            <w:tcW w:w="5020"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5 actions (or all, if less than 5 total awards)</w:t>
            </w:r>
          </w:p>
          <w:p>
            <w:pPr>
              <w:pBdr>
                <w:top w:space="5"/>
                <w:left w:space="5"/>
                <w:bottom w:space="5"/>
                <w:right w:space="5"/>
              </w:pBdr>
              <w:spacing w:after="0"/>
              <w:ind w:left="240"/>
              <w:jc w:val="left"/>
            </w:pPr>
            <w:r>
              <w:rPr>
                <w:rFonts w:ascii="Times New Roman" w:hAnsi="Times New Roman"/>
                <w:b w:val="false"/>
                <w:i w:val="false"/>
                <w:color w:val="000000"/>
                <w:sz w:val="22"/>
              </w:rPr>
              <w:t>5 actions, or no less than 10% - whichever is greater</w:t>
            </w:r>
          </w:p>
          <w:p>
            <w:pPr>
              <w:pBdr>
                <w:top w:space="5"/>
                <w:left w:space="5"/>
                <w:bottom w:space="5"/>
                <w:right w:space="5"/>
              </w:pBdr>
              <w:spacing w:after="0"/>
              <w:ind w:left="240"/>
              <w:jc w:val="left"/>
            </w:pPr>
            <w:r>
              <w:rPr>
                <w:rFonts w:ascii="Times New Roman" w:hAnsi="Times New Roman"/>
                <w:b w:val="false"/>
                <w:i w:val="false"/>
                <w:color w:val="000000"/>
                <w:sz w:val="22"/>
              </w:rPr>
              <w:t>No less than 10%</w:t>
            </w:r>
          </w:p>
        </w:tc>
      </w:tr>
      <w:tr>
        <w:trPr>
          <w:trHeight w:val="79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*This list is not inclusive of every type of contract action or agreement; COCOs may include other contract action types or specific actions as they deem necessary.</w:t>
            </w:r>
          </w:p>
        </w:tc>
      </w:tr>
      <w:tr>
        <w:trPr>
          <w:trHeight w:val="96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**If the total number of actions available for review is less than the mandatory minimum, all files for that action type should be reviewed.</w:t>
            </w:r>
          </w:p>
        </w:tc>
      </w:tr>
      <w:tr>
        <w:trPr>
          <w:trHeight w:val="106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Note: To ensure maximum fidelity in the resultant SIP data and to determine the overall acquisition health of the office/squadron, actions chosen for review should be selected from the entire contract portfolio, to include the responsible flights, divisions, teams and individual contracting officers.</w:t>
            </w:r>
          </w:p>
        </w:tc>
      </w:tr>
    </w:tbl>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ig/publication/afi90-201/afi90-201.pdf" Type="http://schemas.openxmlformats.org/officeDocument/2006/relationships/hyperlink" Id="rId4"/>
    <Relationship TargetMode="External" Target="https://mict.us.af.mil/mymict.aspx" Type="http://schemas.openxmlformats.org/officeDocument/2006/relationships/hyperlink" Id="rId5"/>
    <Relationship TargetMode="External" Target="https://usaf.dps.mil/:w:/r/sites/AFCC/afcc/knowledge_center/_layouts/15/Doc.aspx?sourcedoc=%7BE4A45E66-F157-4D15-87F0-A6BBCF4080AB%7D&amp;file=AFRC_Unit_Self_Inspection_Report.docx&amp;action=default&amp;mobileredirect=true" Type="http://schemas.openxmlformats.org/officeDocument/2006/relationships/hyperlink" Id="rId6"/>
    <Relationship TargetMode="External" Target="https://usaf.dps.mil/:x:/r/sites/AFCC/afcc/knowledge_center/_layouts/15/Doc.aspx?sourcedoc=%7B2A852740-8B19-4D93-96A9-A29E294E049D%7D&amp;file=AFRC_Self-Inspection_Worksheet.xlsx&amp;action=default&amp;mobileredirect=true" Type="http://schemas.openxmlformats.org/officeDocument/2006/relationships/hyperlink" Id="rId7"/>
    <Relationship TargetMode="External" Target="https://usaf.dps.mil/sites/AFCC/afcc/knowledge_center/templates/self_inspection_checklist.xlsx" Type="http://schemas.openxmlformats.org/officeDocument/2006/relationships/hyperlink" Id="rId8"/>
    <Relationship TargetMode="External" Target="https://usaf.dps.mil/sites/AFCC/afcc/knowledge_center/templates/self_inspection_checklist.xlsx" Type="http://schemas.openxmlformats.org/officeDocument/2006/relationships/hyperlink" Id="rId9"/>
    <Relationship TargetMode="External" Target="https://cs2.eis.af.mil/sites/11191/KTFSApp/app/index.aspx" Type="http://schemas.openxmlformats.org/officeDocument/2006/relationships/hyperlink" Id="rId10"/>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