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**ID__AFFARS_pgi_5301_topic_43__ID**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**ID__title__SMC_PGI_5301.602-2__ID**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SMC PGI 5301.601</w:t>
      </w:r>
      <w:r>
        <w:rPr>
          <w:rFonts w:ascii="Times New Roman" w:hAnsi="Times New Roman"/>
          <w:color w:val="000000"/>
          <w:sz w:val="31"/>
        </w:rPr>
        <w:t xml:space="preserve"> (a)(i)(A) </w:t>
      </w:r>
      <w:hyperlink r:id="rId4">
        <w:r>
          <w:rPr>
            <w:rStyle w:val="Hyperlink"/>
            <w:rFonts w:ascii="Times New Roman" w:hAnsi="Times New Roman"/>
            <w:color w:val="0000ff"/>
            <w:sz w:val="31"/>
            <w:u w:val="single"/>
          </w:rPr>
          <w:t/>
        </w:r>
        <w:r>
          <w:rPr>
            <w:rFonts w:ascii="Times New Roman" w:hAnsi="Times New Roman"/>
            <w:color w:val="0000ff"/>
            <w:sz w:val="31"/>
            <w:u w:val="single"/>
          </w:rPr>
          <w:t>HCA Matrix</w:t>
        </w:r>
      </w:hyperlink>
      <w:r>
        <w:rPr>
          <w:rFonts w:ascii="Times New Roman" w:hAnsi="Times New Roman"/>
          <w:color w:val="000000"/>
          <w:sz w:val="31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HCA_matrix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