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**ID__AFFARS_pgi_5301_topic_46__ID**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SMC PGI 5301.9000</w:t>
      </w:r>
      <w:r>
        <w:rPr>
          <w:rFonts w:ascii="Times New Roman" w:hAnsi="Times New Roman"/>
          <w:color w:val="000000"/>
          <w:sz w:val="31"/>
        </w:rPr>
        <w:t xml:space="preserve"> Scope and Definitions</w:t>
      </w:r>
    </w:p>
    <w:p>
      <w:pPr>
        <w:pBdr>
          <w:top w:space="5"/>
          <w:left w:space="5"/>
          <w:bottom w:space="5"/>
          <w:right w:space="5"/>
        </w:pBdr>
        <w:spacing w:after="0"/>
        <w:ind w:left="225"/>
        <w:jc w:val="left"/>
      </w:pPr>
      <w:r>
        <w:rPr>
          <w:rFonts w:ascii="Times New Roman" w:hAnsi="Times New Roman"/>
          <w:b w:val="false"/>
          <w:i w:val="false"/>
          <w:color w:val="000000"/>
          <w:sz w:val="22"/>
        </w:rPr>
        <w:t>(f) When the CAA is at the SCO or DAS(C)/ADAS(C) level, the clearance review is conducted by the Committee Reviewer, the Pricing Reviewer, and the Program Attorney. When the CAA is at the COCO level or below, the COCO assigns the Clearance Reviewer(s) as needed.</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