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**ID__AFFARS_AFMC_PGI_5304_100_90__ID**</w:t>
      </w:r>
    </w:p>
    <w:p>
      <w:pPr>
        <w:pStyle w:val="Heading3"/>
        <w:spacing w:after="199"/>
        <w:ind w:left="120"/>
        <w:jc w:val="left"/>
      </w:pPr>
      <w:r>
        <w:rPr>
          <w:rFonts w:ascii="Times New Roman" w:hAnsi="Times New Roman"/>
          <w:color w:val="000000"/>
          <w:sz w:val="31"/>
        </w:rPr>
        <w:t>AFMC PGI 5304.100-90</w:t>
      </w:r>
      <w:r>
        <w:rPr>
          <w:rFonts w:ascii="Times New Roman" w:hAnsi="Times New Roman"/>
          <w:color w:val="000000"/>
          <w:sz w:val="31"/>
        </w:rPr>
        <w:t xml:space="preserve"> Contract Level Time Metrics</w:t>
      </w:r>
    </w:p>
    <w:p>
      <w:pPr>
        <w:pBdr>
          <w:top w:space="5"/>
          <w:left w:space="5"/>
          <w:bottom w:space="5"/>
          <w:right w:space="5"/>
        </w:pBdr>
        <w:spacing w:after="0"/>
        <w:ind w:left="225"/>
        <w:jc w:val="left"/>
      </w:pPr>
      <w:r>
        <w:rPr>
          <w:rFonts w:ascii="Times New Roman" w:hAnsi="Times New Roman"/>
          <w:b w:val="false"/>
          <w:i w:val="false"/>
          <w:color w:val="000000"/>
          <w:sz w:val="22"/>
        </w:rPr>
        <w:t>Center PKs should establish lead time metrics consistent with mission requirements. Center PKs should measure performance against these metrics at least on an annual basis taking the appropriate steps to ensure continuous improvements in lead times.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