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5304.101-90</w:t>
      </w:r>
      <w:r>
        <w:rPr>
          <w:rFonts w:ascii="Times New Roman" w:hAnsi="Times New Roman"/>
          <w:color w:val="000000"/>
          <w:sz w:val="31"/>
        </w:rPr>
        <w:t xml:space="preserve"> Early Effective Date</w:t>
      </w:r>
    </w:p>
    <w:p>
      <w:pPr>
        <w:pBdr>
          <w:top w:space="5"/>
          <w:left w:space="5"/>
          <w:bottom w:space="5"/>
          <w:right w:space="5"/>
        </w:pBdr>
        <w:spacing w:after="0"/>
        <w:ind w:left="225"/>
        <w:jc w:val="left"/>
      </w:pPr>
      <w:r>
        <w:rPr>
          <w:rFonts w:ascii="Times New Roman" w:hAnsi="Times New Roman"/>
          <w:b w:val="false"/>
          <w:i w:val="false"/>
          <w:color w:val="000000"/>
          <w:sz w:val="22"/>
        </w:rP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Bdr>
          <w:top w:space="5"/>
          <w:left w:space="5"/>
          <w:bottom w:space="5"/>
          <w:right w:space="5"/>
        </w:pBdr>
        <w:spacing w:after="0"/>
        <w:ind w:left="225"/>
        <w:jc w:val="left"/>
      </w:pPr>
      <w:r>
        <w:rPr>
          <w:rFonts w:ascii="Times New Roman" w:hAnsi="Times New Roman"/>
          <w:b w:val="false"/>
          <w:i w:val="false"/>
          <w:color w:val="000000"/>
          <w:sz w:val="22"/>
        </w:rP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Bdr>
          <w:top w:space="5"/>
          <w:left w:space="5"/>
          <w:bottom w:space="5"/>
          <w:right w:space="5"/>
        </w:pBdr>
        <w:spacing w:after="0"/>
        <w:ind w:left="225"/>
        <w:jc w:val="left"/>
      </w:pPr>
      <w:r>
        <w:rPr>
          <w:rFonts w:ascii="Times New Roman" w:hAnsi="Times New Roman"/>
          <w:b w:val="false"/>
          <w:i w:val="false"/>
          <w:color w:val="000000"/>
          <w:sz w:val="22"/>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Bdr>
          <w:top w:space="5"/>
          <w:left w:space="5"/>
          <w:bottom w:space="5"/>
          <w:right w:space="5"/>
        </w:pBdr>
        <w:spacing w:after="0"/>
        <w:ind w:left="225"/>
        <w:jc w:val="left"/>
      </w:pPr>
      <w:r>
        <w:rPr>
          <w:rFonts w:ascii="Times New Roman" w:hAnsi="Times New Roman"/>
          <w:b w:val="false"/>
          <w:i w:val="false"/>
          <w:color w:val="000000"/>
          <w:sz w:val="22"/>
        </w:rPr>
        <w:t>(d) Recommend obtaining legal review for early effective dates established more than 30 days prior to the envisioned contract award date.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