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**ID__AFFARS_SMC_PGI_5304_102__ID**</w:t>
      </w:r>
    </w:p>
    <w:p>
      <w:pPr>
        <w:pStyle w:val="Heading3"/>
        <w:spacing w:after="199"/>
        <w:ind w:left="120"/>
        <w:jc w:val="left"/>
      </w:pPr>
      <w:r>
        <w:rPr>
          <w:rFonts w:ascii="Times New Roman" w:hAnsi="Times New Roman"/>
          <w:color w:val="000000"/>
          <w:sz w:val="31"/>
        </w:rPr>
        <w:t>SMC PGI 5304.102</w:t>
      </w:r>
      <w:r>
        <w:rPr>
          <w:rFonts w:ascii="Times New Roman" w:hAnsi="Times New Roman"/>
          <w:color w:val="000000"/>
          <w:sz w:val="31"/>
        </w:rPr>
        <w:t xml:space="preserve"> Contractor’s Signature</w:t>
      </w:r>
    </w:p>
    <w:p>
      <w:pPr>
        <w:pBdr>
          <w:top w:space="5"/>
          <w:left w:space="5"/>
          <w:bottom w:space="5"/>
          <w:right w:space="5"/>
        </w:pBdr>
        <w:spacing w:after="0"/>
        <w:ind w:left="225"/>
        <w:jc w:val="left"/>
      </w:pPr>
      <w:r>
        <w:rPr>
          <w:rFonts w:ascii="Times New Roman" w:hAnsi="Times New Roman"/>
          <w:b w:val="false"/>
          <w:i w:val="false"/>
          <w:color w:val="000000"/>
          <w:sz w:val="22"/>
        </w:rPr>
        <w:t>(a)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w:t>
      </w:r>
    </w:p>
    <w:p>
      <w:pPr>
        <w:pBdr>
          <w:top w:space="5"/>
          <w:left w:space="5"/>
          <w:bottom w:space="5"/>
          <w:right w:space="5"/>
        </w:pBdr>
        <w:spacing w:after="0"/>
        <w:ind w:left="225"/>
        <w:jc w:val="left"/>
      </w:pPr>
      <w:r>
        <w:rPr>
          <w:rFonts w:ascii="Times New Roman" w:hAnsi="Times New Roman"/>
          <w:b w:val="false"/>
          <w:i w:val="false"/>
          <w:color w:val="000000"/>
          <w:sz w:val="22"/>
        </w:rPr>
        <w:t>(b) Contractor Signature. ​The individual who signs for the contractor must have authority to bind the company. Evidence of this authorization is normally found in the Representations &amp; Certifications (Section K) of the proposal. For a supplemental agreement, the contractor can furnish a letter of authorization.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