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5304.270-2</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(a) New contracting personnel or personnel changing organizations can obtain ConWrite access from the SMC/PKX ConWrite administrator. See instructions at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ConWrite Corner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contract award distribution requests using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Electronic Award Request</w:t>
        </w:r>
      </w:hyperlink>
      <w:r>
        <w:rPr>
          <w:rFonts w:ascii="Times New Roman" w:hAnsi="Times New Roman"/>
          <w:b w:val="false"/>
          <w:i w:val="false"/>
          <w:color w:val="000000"/>
          <w:sz w:val="22"/>
        </w:rP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Bdr>
          <w:top w:space="5"/>
          <w:left w:space="5"/>
          <w:bottom w:space="5"/>
          <w:right w:space="5"/>
        </w:pBdr>
        <w:spacing w:after="0"/>
        <w:ind w:left="225"/>
        <w:jc w:val="left"/>
      </w:pPr>
      <w:r>
        <w:rPr>
          <w:rFonts w:ascii="Times New Roman" w:hAnsi="Times New Roman"/>
          <w:b w:val="false"/>
          <w:i w:val="false"/>
          <w:color w:val="000000"/>
          <w:sz w:val="22"/>
        </w:rPr>
        <w:t>(c) In order to meet the contract action reporting (CAR) timelines in FAR 4.604(b),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Bdr>
          <w:top w:space="5"/>
          <w:left w:space="5"/>
          <w:bottom w:space="5"/>
          <w:right w:space="5"/>
        </w:pBdr>
        <w:spacing w:after="0"/>
        <w:ind w:left="225"/>
        <w:jc w:val="left"/>
      </w:pPr>
      <w:r>
        <w:rPr>
          <w:rFonts w:ascii="Times New Roman" w:hAnsi="Times New Roman"/>
          <w:b w:val="false"/>
          <w:i w:val="false"/>
          <w:color w:val="000000"/>
          <w:sz w:val="22"/>
        </w:rPr>
        <w:t>(d)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4.604(b)(2).</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nsidesmc.losangeles.af.mil/sites/pk/div/pkf/conwrite/default.aspx" Type="http://schemas.openxmlformats.org/officeDocument/2006/relationships/hyperlink" Id="rId4"/>
    <Relationship TargetMode="External" Target="https://insidesmc.losangeles.af.mil/sites/pk/div/pkc/requests/Lists/pkcawardlog/AllItems.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