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5304.403</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Bdr>
          <w:top w:space="5"/>
          <w:left w:space="5"/>
          <w:bottom w:space="5"/>
          <w:right w:space="5"/>
        </w:pBdr>
        <w:spacing w:after="0"/>
        <w:ind w:left="225"/>
        <w:jc w:val="left"/>
      </w:pPr>
      <w:r>
        <w:rPr>
          <w:rFonts w:ascii="Times New Roman" w:hAnsi="Times New Roman"/>
          <w:b w:val="false"/>
          <w:i w:val="false"/>
          <w:color w:val="000000"/>
          <w:sz w:val="22"/>
        </w:rP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Bdr>
          <w:top w:space="5"/>
          <w:left w:space="5"/>
          <w:bottom w:space="5"/>
          <w:right w:space="5"/>
        </w:pBdr>
        <w:spacing w:after="0"/>
        <w:ind w:left="225"/>
        <w:jc w:val="left"/>
      </w:pPr>
      <w:r>
        <w:rPr>
          <w:rFonts w:ascii="Times New Roman" w:hAnsi="Times New Roman"/>
          <w:b w:val="false"/>
          <w:i w:val="false"/>
          <w:color w:val="000000"/>
          <w:sz w:val="22"/>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numPr>
          <w:ilvl w:val="0"/>
          <w:numId w:val="1"/>
        </w:numPr>
        <w:spacing w:after="0"/>
        <w:jc w:val="left"/>
      </w:pPr>
      <w:r>
        <w:rPr>
          <w:rFonts w:ascii="Times New Roman" w:hAnsi="Times New Roman"/>
          <w:b w:val="false"/>
          <w:i w:val="false"/>
          <w:color w:val="000000"/>
          <w:sz w:val="22"/>
        </w:rPr>
        <w:t>Ensure appropriate clauses and provisions have been included in Section I of the contract as prescribed in FAR / DFARS / AFFARS.</w:t>
      </w:r>
    </w:p>
    <w:p>
      <w:pPr>
        <w:numPr>
          <w:ilvl w:val="0"/>
          <w:numId w:val="1"/>
        </w:numPr>
        <w:spacing w:after="0"/>
        <w:jc w:val="left"/>
      </w:pPr>
      <w:r>
        <w:rPr>
          <w:rFonts w:ascii="Times New Roman" w:hAnsi="Times New Roman"/>
          <w:b w:val="false"/>
          <w:i w:val="false"/>
          <w:color w:val="000000"/>
          <w:sz w:val="22"/>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p>
    <w:p>
      <w:pPr>
        <w:numPr>
          <w:ilvl w:val="0"/>
          <w:numId w:val="1"/>
        </w:numPr>
        <w:spacing w:after="0"/>
        <w:jc w:val="left"/>
      </w:pPr>
      <w:r>
        <w:rPr>
          <w:rFonts w:ascii="Times New Roman" w:hAnsi="Times New Roman"/>
          <w:b w:val="false"/>
          <w:i w:val="false"/>
          <w:color w:val="000000"/>
          <w:sz w:val="22"/>
        </w:rPr>
        <w:t xml:space="preserve">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DSS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website</w:t>
        </w:r>
      </w:hyperlink>
      <w:r>
        <w:rPr>
          <w:rFonts w:ascii="Times New Roman" w:hAnsi="Times New Roman"/>
          <w:b w:val="false"/>
          <w:i w:val="false"/>
          <w:color w:val="000000"/>
          <w:sz w:val="22"/>
        </w:rPr>
        <w:t>.</w:t>
      </w:r>
    </w:p>
    <w:p>
      <w:pPr>
        <w:numPr>
          <w:ilvl w:val="0"/>
          <w:numId w:val="1"/>
        </w:numPr>
        <w:spacing w:after="0"/>
        <w:jc w:val="left"/>
      </w:pPr>
      <w:r>
        <w:rPr>
          <w:rFonts w:ascii="Times New Roman" w:hAnsi="Times New Roman"/>
          <w:b w:val="false"/>
          <w:i w:val="false"/>
          <w:color w:val="000000"/>
          <w:sz w:val="22"/>
        </w:rPr>
        <w:t>Ensure the administrative information included on the form is accurate, such as solicitation number (Block 2c) or contract number (Block 2a), contractor data (Block 6), and Government information (Blocks 16 and 17).</w:t>
      </w:r>
    </w:p>
    <w:p>
      <w:pPr>
        <w:numPr>
          <w:ilvl w:val="0"/>
          <w:numId w:val="1"/>
        </w:numPr>
        <w:spacing w:after="0"/>
        <w:jc w:val="left"/>
      </w:pPr>
      <w:r>
        <w:rPr>
          <w:rFonts w:ascii="Times New Roman" w:hAnsi="Times New Roman"/>
          <w:b w:val="false"/>
          <w:i w:val="false"/>
          <w:color w:val="000000"/>
          <w:sz w:val="22"/>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numPr>
          <w:ilvl w:val="0"/>
          <w:numId w:val="1"/>
        </w:numPr>
        <w:spacing w:after="0"/>
        <w:jc w:val="left"/>
      </w:pPr>
      <w:r>
        <w:rPr>
          <w:rFonts w:ascii="Times New Roman" w:hAnsi="Times New Roman"/>
          <w:b w:val="false"/>
          <w:i w:val="false"/>
          <w:color w:val="000000"/>
          <w:sz w:val="22"/>
        </w:rPr>
        <w:t>Ensure that the distribution list in Block 18 is accurate. Paragraph 3.3 of AFI 16-1406 has detailed distribution instructions; contracting officers should also ensure the form is distributed to the coordinating security offices.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DD Form 254 and associated instruction sheet can be found on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Publications website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Bdr>
          <w:top w:space="5"/>
          <w:left w:space="5"/>
          <w:bottom w:space="5"/>
          <w:right w:space="5"/>
        </w:pBdr>
        <w:spacing w:after="0"/>
        <w:ind w:left="225"/>
        <w:jc w:val="left"/>
      </w:pPr>
      <w:r>
        <w:rPr>
          <w:rFonts w:ascii="Times New Roman" w:hAnsi="Times New Roman"/>
          <w:b w:val="false"/>
          <w:i w:val="false"/>
          <w:color w:val="000000"/>
          <w:sz w:val="22"/>
        </w:rP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Bdr>
          <w:top w:space="5"/>
          <w:left w:space="5"/>
          <w:bottom w:space="5"/>
          <w:right w:space="5"/>
        </w:pBdr>
        <w:spacing w:after="0"/>
        <w:ind w:left="225"/>
        <w:jc w:val="left"/>
      </w:pPr>
      <w:r>
        <w:rPr>
          <w:rFonts w:ascii="Times New Roman" w:hAnsi="Times New Roman"/>
          <w:b w:val="false"/>
          <w:i w:val="false"/>
          <w:color w:val="000000"/>
          <w:sz w:val="22"/>
        </w:rP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Bdr>
          <w:top w:space="5"/>
          <w:left w:space="5"/>
          <w:bottom w:space="5"/>
          <w:right w:space="5"/>
        </w:pBdr>
        <w:spacing w:after="0"/>
        <w:ind w:left="225"/>
        <w:jc w:val="left"/>
      </w:pPr>
      <w:r>
        <w:rPr>
          <w:rFonts w:ascii="Times New Roman" w:hAnsi="Times New Roman"/>
          <w:b w:val="false"/>
          <w:i w:val="false"/>
          <w:color w:val="000000"/>
          <w:sz w:val="22"/>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ss.mil/" Type="http://schemas.openxmlformats.org/officeDocument/2006/relationships/hyperlink" Id="rId4"/>
    <Relationship TargetMode="External" Target="https://www.esd.whs.mil/Directives/forms/%20"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