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**ID__AFFARS_pgi_5304_topic_15__ID**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5304.606</w:t>
      </w:r>
      <w:r>
        <w:rPr>
          <w:rFonts w:ascii="Times New Roman" w:hAnsi="Times New Roman"/>
          <w:color w:val="000000"/>
          <w:sz w:val="31"/>
        </w:rPr>
        <w:t xml:space="preserve"> Reporting Data</w:t>
      </w:r>
    </w:p>
    <w:p>
      <w:pPr>
        <w:pBdr>
          <w:top w:space="5"/>
          <w:left w:space="5"/>
          <w:bottom w:space="5"/>
          <w:right w:space="5"/>
        </w:pBdr>
        <w:spacing w:after="0"/>
        <w:ind w:left="225"/>
        <w:jc w:val="left"/>
      </w:pPr>
      <w:r>
        <w:rPr>
          <w:rFonts w:ascii="Times New Roman" w:hAnsi="Times New Roman"/>
          <w:b w:val="false"/>
          <w:i w:val="false"/>
          <w:color w:val="000000"/>
          <w:sz w:val="22"/>
        </w:rPr>
        <w:t>(a) ConWrite Buy Plan Journal</w:t>
      </w:r>
    </w:p>
    <w:p>
      <w:pPr>
        <w:pBdr>
          <w:top w:space="5"/>
          <w:left w:space="5"/>
          <w:bottom w:space="5"/>
          <w:right w:space="5"/>
        </w:pBdr>
        <w:spacing w:after="0"/>
        <w:ind w:left="585"/>
        <w:jc w:val="left"/>
      </w:pPr>
      <w:r>
        <w:rPr>
          <w:rFonts w:ascii="Times New Roman" w:hAnsi="Times New Roman"/>
          <w:b w:val="false"/>
          <w:i w:val="false"/>
          <w:color w:val="000000"/>
          <w:sz w:val="22"/>
        </w:rPr>
        <w:t>(1) For supplemental agreements and non-competitive new contracts, the minimum milestones have been defaulted in ConWrite to automatically prompt when a Buy Plan is created. Please do not attempt to remove these milestones. Additional milestones may be added.</w:t>
      </w:r>
    </w:p>
    <w:p>
      <w:pPr>
        <w:pBdr>
          <w:top w:space="5"/>
          <w:left w:space="5"/>
          <w:bottom w:space="5"/>
          <w:right w:space="5"/>
        </w:pBdr>
        <w:spacing w:after="0"/>
        <w:ind w:left="585"/>
        <w:jc w:val="left"/>
      </w:pPr>
      <w:r>
        <w:rPr>
          <w:rFonts w:ascii="Times New Roman" w:hAnsi="Times New Roman"/>
          <w:b w:val="false"/>
          <w:i w:val="false"/>
          <w:color w:val="000000"/>
          <w:sz w:val="22"/>
        </w:rPr>
        <w:t>(2) User will need to ensure the Buy Plan is attached to the contract action (i.e. the Buy Plan for the RFP is only attached to RFP and the Buy Plan for the contract is only attached to the contract) in ConWrite.</w:t>
      </w:r>
    </w:p>
    <w:p>
      <w:pPr>
        <w:pBdr>
          <w:top w:space="5"/>
          <w:left w:space="5"/>
          <w:bottom w:space="5"/>
          <w:right w:space="5"/>
        </w:pBdr>
        <w:spacing w:after="0"/>
        <w:ind w:left="225"/>
        <w:jc w:val="left"/>
      </w:pPr>
      <w:r>
        <w:rPr>
          <w:rFonts w:ascii="Times New Roman" w:hAnsi="Times New Roman"/>
          <w:b w:val="false"/>
          <w:i w:val="false"/>
          <w:color w:val="000000"/>
          <w:sz w:val="22"/>
        </w:rPr>
        <w:t>(b) ConWrite Buy Plan Journals for RFPs and RFP Amendments:</w:t>
      </w:r>
    </w:p>
    <w:p>
      <w:pPr>
        <w:pBdr>
          <w:top w:space="5"/>
          <w:left w:space="5"/>
          <w:bottom w:space="5"/>
          <w:right w:space="5"/>
        </w:pBdr>
        <w:spacing w:after="0"/>
        <w:ind w:left="585"/>
        <w:jc w:val="left"/>
      </w:pPr>
      <w:r>
        <w:rPr>
          <w:rFonts w:ascii="Times New Roman" w:hAnsi="Times New Roman"/>
          <w:b w:val="false"/>
          <w:i w:val="false"/>
          <w:color w:val="000000"/>
          <w:sz w:val="22"/>
        </w:rPr>
        <w:t>(1) A separate Buy Plan should be created for the RFP and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(2) Ensure the RFP Number is referenced in the Buy Plan description block for the associated contract.</w:t>
      </w:r>
    </w:p>
    <w:p>
      <w:pPr>
        <w:pBdr>
          <w:top w:space="5"/>
          <w:left w:space="5"/>
          <w:bottom w:space="5"/>
          <w:right w:space="5"/>
        </w:pBdr>
        <w:spacing w:after="0"/>
        <w:ind w:left="585"/>
        <w:jc w:val="left"/>
      </w:pPr>
      <w:r>
        <w:rPr>
          <w:rFonts w:ascii="Times New Roman" w:hAnsi="Times New Roman"/>
          <w:b w:val="false"/>
          <w:i w:val="false"/>
          <w:color w:val="000000"/>
          <w:sz w:val="22"/>
        </w:rPr>
        <w:t>(3) Immediately after the RFP is issued, contact the ConWrite Administrator (or alternate) or Contract Award with notification that the RFP has been issued along with the issued date.</w:t>
      </w:r>
    </w:p>
    <w:p>
      <w:pPr>
        <w:pBdr>
          <w:top w:space="5"/>
          <w:left w:space="5"/>
          <w:bottom w:space="5"/>
          <w:right w:space="5"/>
        </w:pBdr>
        <w:spacing w:after="0"/>
        <w:ind w:left="585"/>
        <w:jc w:val="left"/>
      </w:pPr>
      <w:r>
        <w:rPr>
          <w:rFonts w:ascii="Times New Roman" w:hAnsi="Times New Roman"/>
          <w:b w:val="false"/>
          <w:i w:val="false"/>
          <w:color w:val="000000"/>
          <w:sz w:val="22"/>
        </w:rPr>
        <w:t>(4) The ConWrite Administrator (or alternate) or Award Distro team will enter the Issued Date on the cover page of the RFP and put the RFP in award/locked status.</w:t>
      </w:r>
    </w:p>
    <w:p>
      <w:pPr>
        <w:pBdr>
          <w:top w:space="5"/>
          <w:left w:space="5"/>
          <w:bottom w:space="5"/>
          <w:right w:space="5"/>
        </w:pBdr>
        <w:spacing w:after="0"/>
        <w:ind w:left="585"/>
        <w:jc w:val="left"/>
      </w:pPr>
      <w:r>
        <w:rPr>
          <w:rFonts w:ascii="Times New Roman" w:hAnsi="Times New Roman"/>
          <w:b w:val="false"/>
          <w:i w:val="false"/>
          <w:color w:val="000000"/>
          <w:sz w:val="22"/>
        </w:rPr>
        <w:t>(5) Amendments to an RFP are separate contract actions with their own Buy Plans.</w:t>
      </w:r>
    </w:p>
    <w:p>
      <w:pPr>
        <w:pBdr>
          <w:top w:space="5"/>
          <w:left w:space="5"/>
          <w:bottom w:space="5"/>
          <w:right w:space="5"/>
        </w:pBdr>
        <w:spacing w:after="0"/>
        <w:ind w:left="585"/>
        <w:jc w:val="left"/>
      </w:pPr>
      <w:r>
        <w:rPr>
          <w:rFonts w:ascii="Times New Roman" w:hAnsi="Times New Roman"/>
          <w:b w:val="false"/>
          <w:i w:val="false"/>
          <w:color w:val="000000"/>
          <w:sz w:val="22"/>
        </w:rPr>
        <w:t>(6) RFP Amendments should not be attached to the basic RFP’s Buy Plan and vice versa.</w:t>
      </w:r>
    </w:p>
    <w:p>
      <w:pPr>
        <w:pBdr>
          <w:top w:space="5"/>
          <w:left w:space="5"/>
          <w:bottom w:space="5"/>
          <w:right w:space="5"/>
        </w:pBdr>
        <w:spacing w:after="0"/>
        <w:ind w:left="585"/>
        <w:jc w:val="left"/>
      </w:pPr>
      <w:r>
        <w:rPr>
          <w:rFonts w:ascii="Times New Roman" w:hAnsi="Times New Roman"/>
          <w:b w:val="false"/>
          <w:i w:val="false"/>
          <w:color w:val="000000"/>
          <w:sz w:val="22"/>
        </w:rPr>
        <w:t>(7) RFP Amendments are to be initiated in ConWrite after the basic RFP is awarded/locked in ConWrite.​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