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**ID__AFFARS_SMC_PGI_5304_802__ID**</w:t>
      </w:r>
    </w:p>
    <w:p>
      <w:pPr>
        <w:pStyle w:val="Heading3"/>
        <w:spacing w:after="199"/>
        <w:ind w:left="120"/>
        <w:jc w:val="left"/>
      </w:pPr>
      <w:r>
        <w:rPr>
          <w:rFonts w:ascii="Times New Roman" w:hAnsi="Times New Roman"/>
          <w:color w:val="000000"/>
          <w:sz w:val="31"/>
        </w:rPr>
        <w:t>SMC PGI 5304.802</w:t>
      </w:r>
      <w:r>
        <w:rPr>
          <w:rFonts w:ascii="Times New Roman" w:hAnsi="Times New Roman"/>
          <w:color w:val="000000"/>
          <w:sz w:val="31"/>
        </w:rPr>
        <w:t xml:space="preserve"> Contract Files</w:t>
      </w:r>
    </w:p>
    <w:p>
      <w:pPr>
        <w:pBdr>
          <w:top w:space="5"/>
          <w:left w:space="5"/>
          <w:bottom w:space="5"/>
          <w:right w:space="5"/>
        </w:pBdr>
        <w:spacing w:after="0"/>
        <w:ind w:left="225"/>
        <w:jc w:val="left"/>
      </w:pPr>
      <w:r>
        <w:rPr>
          <w:rFonts w:ascii="Times New Roman" w:hAnsi="Times New Roman"/>
          <w:b w:val="false"/>
          <w:i w:val="false"/>
          <w:color w:val="000000"/>
          <w:sz w:val="22"/>
        </w:rP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