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**ID__AFFARS_SMC_PGI_5304_803__ID**</w:t>
      </w:r>
    </w:p>
    <w:p>
      <w:pPr>
        <w:pStyle w:val="Heading3"/>
        <w:spacing w:after="199"/>
        <w:ind w:left="120"/>
        <w:jc w:val="left"/>
      </w:pPr>
      <w:r>
        <w:rPr>
          <w:rFonts w:ascii="Times New Roman" w:hAnsi="Times New Roman"/>
          <w:color w:val="000000"/>
          <w:sz w:val="31"/>
        </w:rPr>
        <w:t>SMC PGI 5304.803</w:t>
      </w:r>
      <w:r>
        <w:rPr>
          <w:rFonts w:ascii="Times New Roman" w:hAnsi="Times New Roman"/>
          <w:color w:val="000000"/>
          <w:sz w:val="31"/>
        </w:rPr>
        <w:t xml:space="preserve"> Contents of Contract Files</w:t>
      </w:r>
    </w:p>
    <w:p>
      <w:pPr>
        <w:pBdr>
          <w:top w:space="5"/>
          <w:left w:space="5"/>
          <w:bottom w:space="5"/>
          <w:right w:space="5"/>
        </w:pBdr>
        <w:spacing w:after="0"/>
        <w:ind w:left="225"/>
        <w:jc w:val="left"/>
      </w:pPr>
      <w:r>
        <w:rPr>
          <w:rFonts w:ascii="Times New Roman" w:hAnsi="Times New Roman"/>
          <w:b w:val="false"/>
          <w:i w:val="false"/>
          <w:color w:val="000000"/>
          <w:sz w:val="22"/>
        </w:rPr>
        <w:t>(a) It is incumbent upon contracting professionals to research the regulations, policies, and instructions related to their acquisitions and understand what documentation is expected as a result of those regulations, policies, and instructions. There are many parts of the FAR, for example, that require the contracting officer to make a determination regarding certain facts or situations without expressly stating that those determinations should be in writing. If the contracting officer does not document his or her determination in writing, it may look as if he or she never made that determination. In certain cases, it may be appropriate for the contracting officer to commit such determinations to writing and include them in the contract file.</w:t>
      </w:r>
    </w:p>
    <w:p>
      <w:pPr>
        <w:pBdr>
          <w:top w:space="5"/>
          <w:left w:space="5"/>
          <w:bottom w:space="5"/>
          <w:right w:space="5"/>
        </w:pBdr>
        <w:spacing w:after="0"/>
        <w:ind w:left="585"/>
        <w:jc w:val="left"/>
      </w:pPr>
      <w:r>
        <w:rPr>
          <w:rFonts w:ascii="Times New Roman" w:hAnsi="Times New Roman"/>
          <w:b w:val="false"/>
          <w:i w:val="false"/>
          <w:color w:val="000000"/>
          <w:sz w:val="22"/>
        </w:rPr>
        <w:t>(43) Contract File Content Index (CFCI). Contracting officers may include a CFCI in all contract files as prescribed below.</w:t>
      </w:r>
    </w:p>
    <w:p>
      <w:pPr>
        <w:pBdr>
          <w:top w:space="5"/>
          <w:left w:space="5"/>
          <w:bottom w:space="5"/>
          <w:right w:space="5"/>
        </w:pBdr>
        <w:spacing w:after="0"/>
        <w:ind w:left="945"/>
        <w:jc w:val="left"/>
      </w:pPr>
      <w:r>
        <w:rPr>
          <w:rFonts w:ascii="Times New Roman" w:hAnsi="Times New Roman"/>
          <w:b w:val="false"/>
          <w:i w:val="false"/>
          <w:color w:val="000000"/>
          <w:sz w:val="22"/>
        </w:rPr>
        <w:t xml:space="preserve">(i) PEO Systems &amp; Enterprise contracting: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CFCI (PEO Systems &amp; Enterprise)</w:t>
        </w:r>
      </w:hyperlink>
    </w:p>
    <w:p>
      <w:pPr>
        <w:pBdr>
          <w:top w:space="5"/>
          <w:left w:space="5"/>
          <w:bottom w:space="5"/>
          <w:right w:space="5"/>
        </w:pBdr>
        <w:spacing w:after="0"/>
        <w:ind w:left="945"/>
        <w:jc w:val="left"/>
      </w:pPr>
      <w:r>
        <w:rPr>
          <w:rFonts w:ascii="Times New Roman" w:hAnsi="Times New Roman"/>
          <w:b w:val="false"/>
          <w:i w:val="false"/>
          <w:color w:val="000000"/>
          <w:sz w:val="22"/>
        </w:rPr>
        <w:t xml:space="preserve">(ii) Operational contracting (above the Simplified Acquisition Threshold):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CFCI (Operational Supplies, Services and Construction)</w:t>
        </w:r>
      </w:hyperlink>
    </w:p>
    <w:p>
      <w:pPr>
        <w:pBdr>
          <w:top w:space="5"/>
          <w:left w:space="5"/>
          <w:bottom w:space="5"/>
          <w:right w:space="5"/>
        </w:pBdr>
        <w:spacing w:after="0"/>
        <w:ind w:left="945"/>
        <w:jc w:val="left"/>
      </w:pPr>
      <w:r>
        <w:rPr>
          <w:rFonts w:ascii="Times New Roman" w:hAnsi="Times New Roman"/>
          <w:b w:val="false"/>
          <w:i w:val="false"/>
          <w:color w:val="000000"/>
          <w:sz w:val="22"/>
        </w:rPr>
        <w:t xml:space="preserve">(iii) Operational contracting (Simplified Acquisitions):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Operational CFCI for Simplified Acquisitions</w:t>
        </w:r>
      </w:hyperlink>
    </w:p>
    <w:p>
      <w:pPr>
        <w:pBdr>
          <w:top w:space="5"/>
          <w:left w:space="5"/>
          <w:bottom w:space="5"/>
          <w:right w:space="5"/>
        </w:pBdr>
        <w:spacing w:after="0"/>
        <w:ind w:left="585"/>
        <w:jc w:val="left"/>
      </w:pPr>
      <w:r>
        <w:rPr>
          <w:rFonts w:ascii="Times New Roman" w:hAnsi="Times New Roman"/>
          <w:b w:val="false"/>
          <w:i w:val="false"/>
          <w:color w:val="000000"/>
          <w:sz w:val="22"/>
        </w:rPr>
        <w:t>(44) Buy Plan (applicable to actions awarded in ConWrite).</w:t>
      </w:r>
    </w:p>
    <w:p>
      <w:pPr>
        <w:pBdr>
          <w:top w:space="5"/>
          <w:left w:space="5"/>
          <w:bottom w:space="5"/>
          <w:right w:space="5"/>
        </w:pBdr>
        <w:spacing w:after="0"/>
        <w:ind w:left="945"/>
        <w:jc w:val="left"/>
      </w:pPr>
      <w:r>
        <w:rPr>
          <w:rFonts w:ascii="Times New Roman" w:hAnsi="Times New Roman"/>
          <w:b w:val="false"/>
          <w:i w:val="false"/>
          <w:color w:val="000000"/>
          <w:sz w:val="22"/>
        </w:rPr>
        <w:t>(i) Each contract action should have a Buy Plan. Multiple Buy Plans should not be attached to a single contract action (i.e., the Buy Plan for the RFP is only attached to RFP and the Buy Plan for the contract is only attached to the contract in ConWrite).</w:t>
      </w:r>
    </w:p>
    <w:p>
      <w:pPr>
        <w:pBdr>
          <w:top w:space="5"/>
          <w:left w:space="5"/>
          <w:bottom w:space="5"/>
          <w:right w:space="5"/>
        </w:pBdr>
        <w:spacing w:after="0"/>
        <w:ind w:left="945"/>
        <w:jc w:val="left"/>
      </w:pPr>
      <w:r>
        <w:rPr>
          <w:rFonts w:ascii="Times New Roman" w:hAnsi="Times New Roman"/>
          <w:b w:val="false"/>
          <w:i w:val="false"/>
          <w:color w:val="000000"/>
          <w:sz w:val="22"/>
        </w:rPr>
        <w:t>(ii) A printout of the final Buy Plan should be included in the official contract file at Tab 57. Dates in the Buy Plan should accurately reflect dates milestones occurred and be consistent with other contract file documentation.</w:t>
      </w:r>
    </w:p>
    <w:p>
      <w:pPr>
        <w:pBdr>
          <w:top w:space="5"/>
          <w:left w:space="5"/>
          <w:bottom w:space="5"/>
          <w:right w:space="5"/>
        </w:pBdr>
        <w:spacing w:after="0"/>
        <w:ind w:left="945"/>
        <w:jc w:val="left"/>
      </w:pPr>
      <w:r>
        <w:rPr>
          <w:rFonts w:ascii="Times New Roman" w:hAnsi="Times New Roman"/>
          <w:b w:val="false"/>
          <w:i w:val="false"/>
          <w:color w:val="000000"/>
          <w:sz w:val="22"/>
        </w:rPr>
        <w:t>(iii) Contracting officers may request Buy Plan deletions through the SMC ConWrite administrator.</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CFCI%20Systems%20Enterprise_SMC_FINAL.docx" Type="http://schemas.openxmlformats.org/officeDocument/2006/relationships/hyperlink" Id="rId4"/>
    <Relationship TargetMode="External" Target="https://cs2.eis.af.mil/sites/10059/afcc/knowledge_center/templates/contract_file_operational.docx" Type="http://schemas.openxmlformats.org/officeDocument/2006/relationships/hyperlink" Id="rId5"/>
    <Relationship TargetMode="External" Target="https://cs2.eis.af.mil/sites/10059/afcc/knowledge_center/affars_pgi_related_documents/04.%20Operational%20SAT%20CFCI%20-%20Dec%202015.pdf"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