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**ID__AFFARS_SMC_PGI_5304_1601__ID**</w:t>
      </w:r>
    </w:p>
    <w:p>
      <w:pPr>
        <w:pStyle w:val="Heading3"/>
        <w:spacing w:after="199"/>
        <w:ind w:left="120"/>
        <w:jc w:val="left"/>
      </w:pPr>
      <w:r>
        <w:rPr>
          <w:rFonts w:ascii="Times New Roman" w:hAnsi="Times New Roman"/>
          <w:color w:val="000000"/>
          <w:sz w:val="31"/>
        </w:rPr>
        <w:t>SMC PGI 5304.1601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