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5301.101</w:t>
      </w:r>
      <w:r>
        <w:rPr>
          <w:rFonts w:ascii="Times New Roman" w:hAnsi="Times New Roman"/>
          <w:color w:val="000000"/>
          <w:sz w:val="31"/>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AFICC PGI 5301.1</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ICC_PGI_5301_1.dita#AFFARS_pgi_5301_topic_14"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