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**ID__AFFARS_pgi_5305_topic_7__ID**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5305.207-90</w:t>
      </w:r>
      <w:r>
        <w:rPr>
          <w:rFonts w:ascii="Times New Roman" w:hAnsi="Times New Roman"/>
          <w:color w:val="000000"/>
          <w:sz w:val="31"/>
        </w:rPr>
        <w:t xml:space="preserve"> Preparation and Transmittal of Synopses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should use one of the SMC FBO Templates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pre-award</w:t>
        </w:r>
      </w:hyperlink>
      <w:r>
        <w:rPr>
          <w:rFonts w:ascii="Times New Roman" w:hAnsi="Times New Roman"/>
          <w:b w:val="false"/>
          <w:i w:val="false"/>
          <w:color w:val="000000"/>
          <w:sz w:val="22"/>
        </w:rPr>
        <w:t xml:space="preserve"> or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award/post-award</w:t>
        </w:r>
      </w:hyperlink>
      <w:r>
        <w:rPr>
          <w:rFonts w:ascii="Times New Roman" w:hAnsi="Times New Roman"/>
          <w:b w:val="false"/>
          <w:i w:val="false"/>
          <w:color w:val="000000"/>
          <w:sz w:val="22"/>
        </w:rPr>
        <w:t>) instead of creating a draft synopsis in the FBO website. This practice will help avoid inadvertent posting of information to FBO before it is ready. The templates contain all of the information required at the FBO site.</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are encouraged to coordinate draft synopses with the SMC Small Business Office (SMC/SB) to ensure the NAICS code is appropriate and to provide SMC/SB situational awareness on upcoming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Coordinate all synopses with the SMC Office of Public Affairs (SMC/PA) prior to release in accordance with AFI 35-102, paragraph 9.6. File evidence of coordination with the synopsis. SMC/PA requires use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Bdr>
          <w:top w:space="5"/>
          <w:left w:space="5"/>
          <w:bottom w:space="5"/>
          <w:right w:space="5"/>
        </w:pBdr>
        <w:spacing w:after="0"/>
        <w:ind w:left="225"/>
        <w:jc w:val="left"/>
      </w:pPr>
      <w:r>
        <w:rPr>
          <w:rFonts w:ascii="Times New Roman" w:hAnsi="Times New Roman"/>
          <w:b w:val="false"/>
          <w:i w:val="false"/>
          <w:color w:val="000000"/>
          <w:sz w:val="22"/>
        </w:rPr>
        <w:t>(e) Posting:</w:t>
      </w:r>
    </w:p>
    <w:p>
      <w:pPr>
        <w:pBdr>
          <w:top w:space="5"/>
          <w:left w:space="5"/>
          <w:bottom w:space="5"/>
          <w:right w:space="5"/>
        </w:pBdr>
        <w:spacing w:after="0"/>
        <w:ind w:left="585"/>
        <w:jc w:val="left"/>
      </w:pPr>
      <w:r>
        <w:rPr>
          <w:rFonts w:ascii="Times New Roman" w:hAnsi="Times New Roman"/>
          <w:b w:val="false"/>
          <w:i w:val="false"/>
          <w:color w:val="000000"/>
          <w:sz w:val="22"/>
        </w:rPr>
        <w:t>(1) Do not publish documents marked “For Official Use Only” or “Sensitive Unclassified” publicly on FBO.</w:t>
      </w:r>
    </w:p>
    <w:p>
      <w:pPr>
        <w:pBdr>
          <w:top w:space="5"/>
          <w:left w:space="5"/>
          <w:bottom w:space="5"/>
          <w:right w:space="5"/>
        </w:pBdr>
        <w:spacing w:after="0"/>
        <w:ind w:left="585"/>
        <w:jc w:val="left"/>
      </w:pPr>
      <w:r>
        <w:rPr>
          <w:rFonts w:ascii="Times New Roman" w:hAnsi="Times New Roman"/>
          <w:b w:val="false"/>
          <w:i w:val="false"/>
          <w:color w:val="000000"/>
          <w:sz w:val="22"/>
        </w:rP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Two-Person Verification and Certification</w:t>
        </w:r>
      </w:hyperlink>
      <w:r>
        <w:rPr>
          <w:rFonts w:ascii="Times New Roman" w:hAnsi="Times New Roman"/>
          <w:b w:val="false"/>
          <w:i w:val="false"/>
          <w:color w:val="000000"/>
          <w:sz w:val="22"/>
        </w:rPr>
        <w:t xml:space="preserve"> or similar process prior to posting a synopsis to FBO.</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there is an error in the posted synopsis or the synopsis otherwise needs to be removed, notify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 FBO Admin</w:t>
        </w:r>
      </w:hyperlink>
      <w:r>
        <w:rPr>
          <w:rFonts w:ascii="Times New Roman" w:hAnsi="Times New Roman"/>
          <w:b w:val="false"/>
          <w:i w:val="false"/>
          <w:color w:val="000000"/>
          <w:sz w:val="22"/>
        </w:rPr>
        <w:t>immediately.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fbo_pre-award_template.docx" Type="http://schemas.openxmlformats.org/officeDocument/2006/relationships/hyperlink" Id="rId4"/>
    <Relationship TargetMode="External" Target="https://cs2.eis.af.mil/sites/10059/afcc/knowledge_center/affars_pgi_related_documents/fbo_award_template.docx" Type="http://schemas.openxmlformats.org/officeDocument/2006/relationships/hyperlink" Id="rId5"/>
    <Relationship TargetMode="External" Target="https://cs2.eis.af.mil/sites/10059/afcc/knowledge_center/affars_pgi_related_documents/pa_security_and_policy_review_worksheet.pdf" Type="http://schemas.openxmlformats.org/officeDocument/2006/relationships/hyperlink" Id="rId6"/>
    <Relationship TargetMode="External" Target="https://cs2.eis.af.mil/sites/10059/afcc/knowledge_center/affars_pgi_related_documents/two_person_verification_and_certification.docx" Type="http://schemas.openxmlformats.org/officeDocument/2006/relationships/hyperlink" Id="rId7"/>
    <Relationship TargetMode="External" Target="https://insidesmc.losangeles.af.mil/sites/pk/div/pkc/Pages/OrgChart_POC.aspx"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