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**ID__AFFARS_pgi_5306_topic_9__ID**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5306.301-90</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Regulatory requirements to justify the use of other than full and open competition are outlined in several parts of the FAR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6.302 identifies the statutory authorities for contracting without full and open competition for all actions not covered by Parts 8, 13 and 16. Refer to </w:t>
      </w:r>
      <w:hyperlink r:id="rId4">
        <w:r>
          <w:rPr>
            <w:rStyle w:val="Hyperlink"/>
            <w:rFonts w:ascii="Times New Roman" w:hAnsi="Times New Roman"/>
            <w:b w:val="false"/>
            <w:i w:val="false"/>
            <w:color w:val="0000ff"/>
            <w:sz w:val="22"/>
            <w:u w:val="single"/>
          </w:rPr>
          <w:t>5306.303-2</w:t>
        </w:r>
      </w:hyperlink>
      <w:r>
        <w:rPr>
          <w:rFonts w:ascii="Times New Roman" w:hAnsi="Times New Roman"/>
          <w:b w:val="false"/>
          <w:i w:val="false"/>
          <w:color w:val="000000"/>
          <w:sz w:val="22"/>
        </w:rPr>
        <w:t xml:space="preserve"> for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 Documentation template</w:t>
        </w:r>
      </w:hyperlink>
      <w:r>
        <w:rPr>
          <w:rFonts w:ascii="Times New Roman" w:hAnsi="Times New Roman"/>
          <w:b w:val="false"/>
          <w:i w:val="false"/>
          <w:color w:val="000000"/>
          <w:sz w:val="22"/>
        </w:rPr>
        <w:t xml:space="preserve">. Prepare the J&amp;A in accordance with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Preparation Guide for Other Than Full and Open Competition Justification and Approval</w:t>
        </w:r>
      </w:hyperlink>
      <w:r>
        <w:rPr>
          <w:rFonts w:ascii="Times New Roman" w:hAnsi="Times New Roman"/>
          <w:b w:val="false"/>
          <w:i w:val="false"/>
          <w:color w:val="000000"/>
          <w:sz w:val="22"/>
        </w:rPr>
        <w:t xml:space="preserve"> at the back of the template. (NOTE: the determination and findings (D&amp;F) required under FAR 6.202, Full and Open Competition After Exclusion of Sources, is filed under Tab 8.) (See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Supporting Your Justification and Approval Point of Need Training</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(2) 8.405-6 addresses limited sources justifications (LSJ) for GSA acquisitions. Refer to 5308.405-6(d) for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Limited Sources Justification and Approval Documentation template</w:t>
        </w:r>
      </w:hyperlink>
      <w:r>
        <w:rPr>
          <w:rFonts w:ascii="Times New Roman" w:hAnsi="Times New Roman"/>
          <w:b w:val="false"/>
          <w:i w:val="false"/>
          <w:color w:val="000000"/>
          <w:sz w:val="22"/>
        </w:rPr>
        <w:t>. Prepare the LSJ in accordance with the instructions in the template.</w:t>
      </w:r>
    </w:p>
    <w:p>
      <w:pPr>
        <w:pBdr>
          <w:top w:space="5"/>
          <w:left w:space="5"/>
          <w:bottom w:space="5"/>
          <w:right w:space="5"/>
        </w:pBdr>
        <w:spacing w:after="0"/>
        <w:ind w:left="585"/>
        <w:jc w:val="left"/>
      </w:pPr>
      <w:r>
        <w:rPr>
          <w:rFonts w:ascii="Times New Roman" w:hAnsi="Times New Roman"/>
          <w:b w:val="false"/>
          <w:i w:val="false"/>
          <w:color w:val="000000"/>
          <w:sz w:val="22"/>
        </w:rPr>
        <w:t>(3) 13.501 addresses sole source acquisitions for small dollar thresholds.</w:t>
      </w:r>
    </w:p>
    <w:p>
      <w:pPr>
        <w:pBdr>
          <w:top w:space="5"/>
          <w:left w:space="5"/>
          <w:bottom w:space="5"/>
          <w:right w:space="5"/>
        </w:pBdr>
        <w:spacing w:after="0"/>
        <w:ind w:left="585"/>
        <w:jc w:val="left"/>
      </w:pPr>
      <w:r>
        <w:rPr>
          <w:rFonts w:ascii="Times New Roman" w:hAnsi="Times New Roman"/>
          <w:b w:val="false"/>
          <w:i w:val="false"/>
          <w:color w:val="000000"/>
          <w:sz w:val="22"/>
        </w:rPr>
        <w:t xml:space="preserve">(4) 16.505(b)(2) addresses exceptions to fair opportunity for orders (EFO) under multiple award contracts. Refer to 5316.505(b)(2) for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 template</w:t>
        </w:r>
      </w:hyperlink>
      <w:r>
        <w:rPr>
          <w:rFonts w:ascii="Times New Roman" w:hAnsi="Times New Roman"/>
          <w:b w:val="false"/>
          <w:i w:val="false"/>
          <w:color w:val="000000"/>
          <w:sz w:val="22"/>
        </w:rPr>
        <w:t>. Prepare the EFO in accordance with the instructions in the template.</w:t>
      </w:r>
    </w:p>
    <w:p>
      <w:pPr>
        <w:pBdr>
          <w:top w:space="5"/>
          <w:left w:space="5"/>
          <w:bottom w:space="5"/>
          <w:right w:space="5"/>
        </w:pBdr>
        <w:spacing w:after="0"/>
        <w:ind w:left="225"/>
        <w:jc w:val="left"/>
      </w:pPr>
      <w:r>
        <w:rPr>
          <w:rFonts w:ascii="Times New Roman" w:hAnsi="Times New Roman"/>
          <w:b w:val="false"/>
          <w:i w:val="false"/>
          <w:color w:val="000000"/>
          <w:sz w:val="22"/>
        </w:rP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Bdr>
          <w:top w:space="5"/>
          <w:left w:space="5"/>
          <w:bottom w:space="5"/>
          <w:right w:space="5"/>
        </w:pBdr>
        <w:spacing w:after="0"/>
        <w:ind w:left="225"/>
        <w:jc w:val="left"/>
      </w:pPr>
      <w:r>
        <w:rPr>
          <w:rFonts w:ascii="Times New Roman" w:hAnsi="Times New Roman"/>
          <w:b w:val="false"/>
          <w:i w:val="false"/>
          <w:color w:val="000000"/>
          <w:sz w:val="22"/>
        </w:rPr>
        <w:t>(c) Each FAR part has specific posting instructions for general publication of the justification document. Ensure you understand the posting requirements of your justification document.</w:t>
      </w:r>
    </w:p>
    <w:p>
      <w:pPr>
        <w:pBdr>
          <w:top w:space="5"/>
          <w:left w:space="5"/>
          <w:bottom w:space="5"/>
          <w:right w:space="5"/>
        </w:pBdr>
        <w:spacing w:after="0"/>
        <w:ind w:left="225"/>
        <w:jc w:val="left"/>
      </w:pPr>
      <w:r>
        <w:rPr>
          <w:rFonts w:ascii="Times New Roman" w:hAnsi="Times New Roman"/>
          <w:b w:val="false"/>
          <w:i w:val="false"/>
          <w:color w:val="000000"/>
          <w:sz w:val="22"/>
        </w:rPr>
        <w:t>(d) When reviewing a J&amp;A, LSJ, or EFO, contracting officers should consider whether an amendment to the original Acquisition Plan is also required. If the effort is out of scope of the contract, it may also be outside the approved acquisition authority.</w:t>
      </w:r>
    </w:p>
    <w:p>
      <w:pPr>
        <w:pBdr>
          <w:top w:space="5"/>
          <w:left w:space="5"/>
          <w:bottom w:space="5"/>
          <w:right w:space="5"/>
        </w:pBdr>
        <w:spacing w:after="0"/>
        <w:ind w:left="225"/>
        <w:jc w:val="left"/>
      </w:pPr>
      <w:r>
        <w:rPr>
          <w:rFonts w:ascii="Times New Roman" w:hAnsi="Times New Roman"/>
          <w:b w:val="false"/>
          <w:i w:val="false"/>
          <w:color w:val="000000"/>
          <w:sz w:val="22"/>
        </w:rPr>
        <w:t>(e) For tracking and reporting purposes obtain a Local Identification Number from SMC/PKC for each J&amp;A prior to coordination. SMC PGI 5306.302-2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(c)(1) Contracting officers notify the SMC/PKC Committee Reviewer and the SMC Competition Advocate if contract award is anticipated before the Justification and Approval (J&amp;A) is signed by the approving official.</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6_303_2.dita#AFFARS_5306_topic_10" Type="http://schemas.openxmlformats.org/officeDocument/2006/relationships/hyperlink" Id="rId4"/>
    <Relationship TargetMode="External" Target="https://cs2.eis.af.mil/sites/10059/afcc/knowledge_center/templates/justification_and_approval_document.pdf" Type="http://schemas.openxmlformats.org/officeDocument/2006/relationships/hyperlink" Id="rId5"/>
    <Relationship TargetMode="External" Target="https://cs2.eis.af.mil/sites/10059/afcc/knowledge_center/Pages/5306.aspx" Type="http://schemas.openxmlformats.org/officeDocument/2006/relationships/hyperlink" Id="rId6"/>
    <Relationship TargetMode="External" Target="https://insidesmc.losangeles.af.mil/sites/pk/Style%20Library/PON/modules/02-JandAs/default.aspx" Type="http://schemas.openxmlformats.org/officeDocument/2006/relationships/hyperlink" Id="rId7"/>
    <Relationship TargetMode="External" Target="https://cs2.eis.af.mil/sites/10059/afcc/knowledge_center/templates/limited_sources_J_and_A.pdf" Type="http://schemas.openxmlformats.org/officeDocument/2006/relationships/hyperlink" Id="rId8"/>
    <Relationship TargetMode="External" Target="https://cs2.eis.af.mil/sites/10059/afcc/knowledge_center/templates/fair_opportunity_exception_justification.pdf"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