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**ID__AFFARS_AFICC_PGI_5307_104__ID**</w:t>
      </w:r>
    </w:p>
    <w:p>
      <w:pPr>
        <w:pStyle w:val="Heading3"/>
        <w:spacing w:after="199"/>
        <w:ind w:left="120"/>
        <w:jc w:val="left"/>
      </w:pPr>
      <w:r>
        <w:rPr>
          <w:rFonts w:ascii="Times New Roman" w:hAnsi="Times New Roman"/>
          <w:color w:val="000000"/>
          <w:sz w:val="31"/>
        </w:rPr>
        <w:t>AFICC PGI 5307.104</w:t>
      </w:r>
      <w:r>
        <w:rPr>
          <w:rFonts w:ascii="Times New Roman" w:hAnsi="Times New Roman"/>
          <w:color w:val="000000"/>
          <w:sz w:val="31"/>
        </w:rPr>
        <w:t xml:space="preserve"> General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order to develop a sound acquisition strategy acquisition teams should engage with the AFICC/KA Acquisition Center of Excellence (ACE) and others as appropriate, including Contracting, Financial Management, Staff Judge Advocate and other technical experts (e.g.,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AFPEO/CM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In order to maximize mission effectiveness through reductions in rate, process and demand management, Contracting Officers are encouraged to identify and consider the use of existing contracts and agreements, to include those within the Department of Defense and Federal Agencies, during the market research phase and prior to awarding a new contract. At a minimum, Contracting Officers should consider exploring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Launch Pad</w:t>
        </w:r>
      </w:hyperlink>
      <w:r>
        <w:rPr>
          <w:rFonts w:ascii="Times New Roman" w:hAnsi="Times New Roman"/>
          <w:b w:val="false"/>
          <w:i w:val="false"/>
          <w:color w:val="000000"/>
          <w:sz w:val="22"/>
        </w:rPr>
        <w:t xml:space="preserve"> and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GSA Acquisition Gateway (Solution Finder)</w:t>
        </w:r>
      </w:hyperlink>
      <w:r>
        <w:rPr>
          <w:rFonts w:ascii="Times New Roman" w:hAnsi="Times New Roman"/>
          <w:b w:val="false"/>
          <w:i w:val="false"/>
          <w:color w:val="000000"/>
          <w:sz w:val="22"/>
        </w:rPr>
        <w:t xml:space="preserve"> and also utilize available resources such as the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Strategic Sourcing Toolbox</w:t>
        </w:r>
      </w:hyperlink>
      <w:r>
        <w:rPr>
          <w:rFonts w:ascii="Times New Roman" w:hAnsi="Times New Roman"/>
          <w:b w:val="false"/>
          <w:i w:val="false"/>
          <w:color w:val="000000"/>
          <w:sz w:val="22"/>
          <w:u w:val="single"/>
        </w:rPr>
        <w: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263/projects/services/SitePages/PEOCM.aspx" Type="http://schemas.openxmlformats.org/officeDocument/2006/relationships/hyperlink" Id="rId4"/>
    <Relationship TargetMode="External" Target="https://cs2.eis.af.mil/sites/10074/afcc/AFICC/KA/SitePages/sslp.aspx" Type="http://schemas.openxmlformats.org/officeDocument/2006/relationships/hyperlink" Id="rId5"/>
    <Relationship TargetMode="External" Target="https://hallways.cap.gsa.gov/app/" Type="http://schemas.openxmlformats.org/officeDocument/2006/relationships/hyperlink" Id="rId6"/>
    <Relationship TargetMode="External" Target="https://cs2.eis.af.mil/sites/10074/afcc/AFICC/KA/sst/default.aspx"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