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**ID__AFFARS_AFICC_PGI_5307_104_92__ID**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Acquisition Plan (AP)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large dollar or complex requirements it is recommended that the ASP convenes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at least 18 months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the planned start of the contract or within a reasonable period of time that is commensurate with the complexity and value of the acquisition. An example of a typical timeline for large dollar and/or complex acquisitions is provided below.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•24 months or &gt; – requirements identified and approved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•24 months – market research initiated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•18 months – ASP convened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•16 months – Acquisition Plan Approved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•14 months – Source Selection Plan Approved (if required)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•12 months – Business Clearance obtained/solicitation release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•3-4 months – Contract Awarded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•1-2 months – Phase-in Starts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•0 months – Contract Start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