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**ID__AFFARS_pgi_5307_topic_9__ID**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5307.104</w:t>
      </w:r>
      <w:r>
        <w:rPr>
          <w:rFonts w:ascii="Times New Roman" w:hAnsi="Times New Roman"/>
          <w:color w:val="000000"/>
          <w:sz w:val="31"/>
        </w:rPr>
        <w:t xml:space="preserve"> General Procedures</w:t>
      </w:r>
    </w:p>
    <w:p>
      <w:pPr>
        <w:pBdr>
          <w:top w:space="5"/>
          <w:left w:space="5"/>
          <w:bottom w:space="5"/>
          <w:right w:space="5"/>
        </w:pBdr>
        <w:spacing w:after="0"/>
        <w:ind w:left="225"/>
        <w:jc w:val="left"/>
      </w:pPr>
      <w:r>
        <w:rPr>
          <w:rFonts w:ascii="Times New Roman" w:hAnsi="Times New Roman"/>
          <w:b w:val="false"/>
          <w:i w:val="false"/>
          <w:color w:val="000000"/>
          <w:sz w:val="22"/>
        </w:rPr>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pPr>
        <w:pBdr>
          <w:top w:space="5"/>
          <w:left w:space="5"/>
          <w:bottom w:space="5"/>
          <w:right w:space="5"/>
        </w:pBdr>
        <w:spacing w:after="0"/>
        <w:ind w:left="225"/>
        <w:jc w:val="left"/>
      </w:pPr>
      <w:r>
        <w:rPr>
          <w:rFonts w:ascii="Times New Roman" w:hAnsi="Times New Roman"/>
          <w:b w:val="false"/>
          <w:i w:val="false"/>
          <w:color w:val="000000"/>
          <w:sz w:val="22"/>
        </w:rPr>
        <w:t xml:space="preserve">(b) AFMC/CA is the Early Strategy &amp; Issues Session (ESIS) authority for AFPEO/CM acquisitions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$100M to &lt;$1B unless further delegated by AFMC/CA. See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AFPEO/CM ESIS template</w:t>
        </w:r>
      </w:hyperlink>
      <w:r>
        <w:rPr>
          <w:rFonts w:ascii="Times New Roman" w:hAnsi="Times New Roman"/>
          <w:b w:val="false"/>
          <w:i w:val="false"/>
          <w:color w:val="000000"/>
          <w:sz w:val="22"/>
        </w:rPr>
        <w:t>. To schedule an ESIS for programs where AFMC/CA is the approval authority, send an email notification to AFMC/PK Workflow with the following information: name of program, program office POC, estimated dollar value, projected need date for the ESIS, status of RAD, projected ASP date, RFP release date, and contract award date.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263/projects/Services/Acquisition%20Templates/ESIS%20template.ppt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