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**ID__AFFARS_pgi_5307_topic_10__ID**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5307.104-92</w:t>
      </w:r>
      <w:r>
        <w:rPr>
          <w:rFonts w:ascii="Times New Roman" w:hAnsi="Times New Roman"/>
          <w:color w:val="000000"/>
          <w:sz w:val="31"/>
        </w:rPr>
        <w:t xml:space="preserve"> Acquisition Strategy Panels (ASP) and Acquisition Plan (AP) Approval Authority or Streamlined Acquisition Strategy Summary (SASS) Approval Authority</w:t>
      </w:r>
    </w:p>
    <w:p>
      <w:pPr>
        <w:pBdr>
          <w:top w:space="5"/>
          <w:left w:space="5"/>
          <w:bottom w:space="5"/>
          <w:right w:space="5"/>
        </w:pBdr>
        <w:spacing w:after="0"/>
        <w:ind w:left="225"/>
        <w:jc w:val="left"/>
      </w:pPr>
      <w:r>
        <w:rPr>
          <w:rFonts w:ascii="Times New Roman" w:hAnsi="Times New Roman"/>
          <w:b w:val="false"/>
          <w:i w:val="false"/>
          <w:color w:val="000000"/>
          <w:sz w:val="22"/>
        </w:rPr>
        <w:t>(a)(3)</w:t>
      </w:r>
    </w:p>
    <w:p>
      <w:pPr>
        <w:pBdr>
          <w:top w:space="5"/>
          <w:left w:space="5"/>
          <w:bottom w:space="5"/>
          <w:right w:space="5"/>
        </w:pBdr>
        <w:spacing w:after="0"/>
        <w:ind w:left="225"/>
        <w:jc w:val="left"/>
      </w:pPr>
      <w:r>
        <w:rPr>
          <w:rFonts w:ascii="Times New Roman" w:hAnsi="Times New Roman"/>
          <w:b w:val="false"/>
          <w:i w:val="false"/>
          <w:color w:val="000000"/>
          <w:sz w:val="22"/>
        </w:rPr>
        <w:t xml:space="preserve">(i) AFMC/CA is the ASP Chair for AFPEO/CM programs ≥ $100M to &lt; $1B, unless further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(b)(1)</w:t>
      </w:r>
    </w:p>
    <w:p>
      <w:pPr>
        <w:pBdr>
          <w:top w:space="5"/>
          <w:left w:space="5"/>
          <w:bottom w:space="5"/>
          <w:right w:space="5"/>
        </w:pBdr>
        <w:spacing w:after="0"/>
        <w:ind w:left="945"/>
        <w:jc w:val="left"/>
      </w:pPr>
      <w:r>
        <w:rPr>
          <w:rFonts w:ascii="Times New Roman" w:hAnsi="Times New Roman"/>
          <w:b w:val="false"/>
          <w:i w:val="false"/>
          <w:color w:val="000000"/>
          <w:sz w:val="22"/>
        </w:rPr>
        <w:t xml:space="preserve">(i) AFMC/CA is the AP approval authority for AFPEO/CM programs ≥ $100M to &lt; $1B, unless further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w:t>
      </w:r>
    </w:p>
    <w:p>
      <w:pPr>
        <w:pBdr>
          <w:top w:space="5"/>
          <w:left w:space="5"/>
          <w:bottom w:space="5"/>
          <w:right w:space="5"/>
        </w:pBdr>
        <w:spacing w:after="0"/>
        <w:ind w:left="225"/>
        <w:jc w:val="left"/>
      </w:pPr>
      <w:r>
        <w:rPr>
          <w:rFonts w:ascii="Times New Roman" w:hAnsi="Times New Roman"/>
          <w:b w:val="false"/>
          <w:i w:val="false"/>
          <w:color w:val="000000"/>
          <w:sz w:val="22"/>
        </w:rPr>
        <w:t>(b)(2) The following actions do not require an AP or SASS:</w:t>
      </w:r>
    </w:p>
    <w:p>
      <w:pPr>
        <w:pBdr>
          <w:top w:space="5"/>
          <w:left w:space="5"/>
          <w:bottom w:space="5"/>
          <w:right w:space="5"/>
        </w:pBdr>
        <w:spacing w:after="0"/>
        <w:ind w:left="225"/>
        <w:jc w:val="left"/>
      </w:pPr>
      <w:r>
        <w:rPr>
          <w:rFonts w:ascii="Times New Roman" w:hAnsi="Times New Roman"/>
          <w:b w:val="false"/>
          <w:i w:val="false"/>
          <w:color w:val="000000"/>
          <w:sz w:val="22"/>
        </w:rPr>
        <w:t>(f)The Small Business Innovation Research (SBIR) program, including the Small Business Technology Transfer (STTR) program (e.g., DoD-wide program planning/solicitation)</w:t>
      </w:r>
    </w:p>
    <w:p>
      <w:pPr>
        <w:pBdr>
          <w:top w:space="5"/>
          <w:left w:space="5"/>
          <w:bottom w:space="5"/>
          <w:right w:space="5"/>
        </w:pBdr>
        <w:spacing w:after="0"/>
        <w:ind w:left="225"/>
        <w:jc w:val="left"/>
      </w:pPr>
      <w:r>
        <w:rPr>
          <w:rFonts w:ascii="Times New Roman" w:hAnsi="Times New Roman"/>
          <w:b w:val="false"/>
          <w:i w:val="false"/>
          <w:color w:val="000000"/>
          <w:sz w:val="22"/>
        </w:rPr>
        <w:t>(g)Acquisitions in accordance with FAR Subpart 13.5. Simplified Procedures for Certain Commercial Items.</w:t>
      </w:r>
    </w:p>
    <w:p>
      <w:pPr>
        <w:pBdr>
          <w:top w:space="5"/>
          <w:left w:space="5"/>
          <w:bottom w:space="5"/>
          <w:right w:space="5"/>
        </w:pBdr>
        <w:spacing w:after="0"/>
        <w:ind w:left="225"/>
        <w:jc w:val="left"/>
      </w:pPr>
      <w:r>
        <w:rPr>
          <w:rFonts w:ascii="Times New Roman" w:hAnsi="Times New Roman"/>
          <w:b w:val="false"/>
          <w:i w:val="false"/>
          <w:color w:val="000000"/>
          <w:sz w:val="22"/>
        </w:rPr>
        <w:t>For Air Force Research Laboratory:</w:t>
      </w:r>
    </w:p>
    <w:p>
      <w:pPr>
        <w:pBdr>
          <w:top w:space="5"/>
          <w:left w:space="5"/>
          <w:bottom w:space="5"/>
          <w:right w:space="5"/>
        </w:pBdr>
        <w:spacing w:after="0"/>
        <w:ind w:left="225"/>
        <w:jc w:val="left"/>
      </w:pPr>
      <w:r>
        <w:rPr>
          <w:rFonts w:ascii="Times New Roman" w:hAnsi="Times New Roman"/>
          <w:b w:val="false"/>
          <w:i w:val="false"/>
          <w:color w:val="000000"/>
          <w:sz w:val="22"/>
        </w:rPr>
        <w:t>(a)(5) In order to provide a consistent approach within AFRL, the following procedures for the use of combined ASP/APs are encouraged:</w:t>
      </w:r>
    </w:p>
    <w:p>
      <w:pPr>
        <w:pBdr>
          <w:top w:space="5"/>
          <w:left w:space="5"/>
          <w:bottom w:space="5"/>
          <w:right w:space="5"/>
        </w:pBdr>
        <w:spacing w:after="0"/>
        <w:ind w:left="945"/>
        <w:jc w:val="left"/>
      </w:pPr>
      <w:r>
        <w:rPr>
          <w:rFonts w:ascii="Times New Roman" w:hAnsi="Times New Roman"/>
          <w:b w:val="false"/>
          <w:i w:val="false"/>
          <w:color w:val="000000"/>
          <w:sz w:val="22"/>
        </w:rPr>
        <w:t>(i)While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 xml:space="preserve">(ii)For R&amp;D actions above the thresholds in DFARS 207.103(d)(i) see the AFRL </w:t>
      </w:r>
      <w:hyperlink r:id="rId6">
        <w:r>
          <w:rPr>
            <w:rStyle w:val="Hyperlink"/>
            <w:rFonts w:ascii="Times New Roman" w:hAnsi="Times New Roman"/>
            <w:b w:val="false"/>
            <w:i w:val="false"/>
            <w:color w:val="0000ff"/>
            <w:sz w:val="22"/>
            <w:u w:val="single"/>
          </w:rPr>
          <w:t>ASP/AP Template</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(iii)Broad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Bdr>
          <w:top w:space="5"/>
          <w:left w:space="5"/>
          <w:bottom w:space="5"/>
          <w:right w:space="5"/>
        </w:pBdr>
        <w:spacing w:after="0"/>
        <w:ind w:left="945"/>
        <w:jc w:val="left"/>
      </w:pPr>
      <w:r>
        <w:rPr>
          <w:rFonts w:ascii="Times New Roman" w:hAnsi="Times New Roman"/>
          <w:b w:val="false"/>
          <w:i w:val="false"/>
          <w:color w:val="000000"/>
          <w:sz w:val="22"/>
        </w:rPr>
        <w:t>(iv)Open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(v)Revisions to ASP/APs. In order to ensure consistency, a significant change affecting the acquisition is one that meets any of the following criteria:</w:t>
      </w:r>
    </w:p>
    <w:p>
      <w:pPr>
        <w:pBdr>
          <w:top w:space="5"/>
          <w:left w:space="5"/>
          <w:bottom w:space="5"/>
          <w:right w:space="5"/>
        </w:pBdr>
        <w:spacing w:after="0"/>
        <w:ind w:left="1305"/>
        <w:jc w:val="left"/>
      </w:pPr>
      <w:r>
        <w:rPr>
          <w:rFonts w:ascii="Times New Roman" w:hAnsi="Times New Roman"/>
          <w:b w:val="false"/>
          <w:i w:val="false"/>
          <w:color w:val="000000"/>
          <w:sz w:val="22"/>
        </w:rPr>
        <w:t>(A)The need to issue a new contract that was not anticipated in the approved ASP/AP for a development program or the need to process a Justification and Approval for a modification to a contract.</w:t>
      </w:r>
    </w:p>
    <w:p>
      <w:pPr>
        <w:pBdr>
          <w:top w:space="5"/>
          <w:left w:space="5"/>
          <w:bottom w:space="5"/>
          <w:right w:space="5"/>
        </w:pBdr>
        <w:spacing w:after="0"/>
        <w:ind w:left="585"/>
        <w:jc w:val="left"/>
      </w:pPr>
      <w:r>
        <w:rPr>
          <w:rFonts w:ascii="Times New Roman" w:hAnsi="Times New Roman"/>
          <w:b w:val="false"/>
          <w:i w:val="false"/>
          <w:color w:val="000000"/>
          <w:sz w:val="22"/>
        </w:rPr>
        <w:t>(1) Change in contract type for an anticipated contract.</w:t>
      </w:r>
    </w:p>
    <w:p>
      <w:pPr>
        <w:pBdr>
          <w:top w:space="5"/>
          <w:left w:space="5"/>
          <w:bottom w:space="5"/>
          <w:right w:space="5"/>
        </w:pBdr>
        <w:spacing w:after="0"/>
        <w:ind w:left="585"/>
        <w:jc w:val="left"/>
      </w:pPr>
      <w:r>
        <w:rPr>
          <w:rFonts w:ascii="Times New Roman" w:hAnsi="Times New Roman"/>
          <w:b w:val="false"/>
          <w:i w:val="false"/>
          <w:color w:val="000000"/>
          <w:sz w:val="22"/>
        </w:rPr>
        <w:t>(2)The cumulative value of the anticipated basic contract(s) and all modifications is/are expected to exceed the approval threshold of the previous ASP/AP approval authority.</w:t>
      </w:r>
    </w:p>
    <w:p>
      <w:pPr>
        <w:pBdr>
          <w:top w:space="5"/>
          <w:left w:space="5"/>
          <w:bottom w:space="5"/>
          <w:right w:space="5"/>
        </w:pBdr>
        <w:spacing w:after="0"/>
        <w:ind w:left="585"/>
        <w:jc w:val="left"/>
      </w:pPr>
      <w:r>
        <w:rPr>
          <w:rFonts w:ascii="Times New Roman" w:hAnsi="Times New Roman"/>
          <w:b w:val="false"/>
          <w:i w:val="false"/>
          <w:color w:val="000000"/>
          <w:sz w:val="22"/>
        </w:rPr>
        <w:t>(3)The cumulative value of all modifications is greater than or equal to 100 percent of the value of the anticipated basic contract(s).</w:t>
      </w:r>
    </w:p>
    <w:p>
      <w:pPr>
        <w:pBdr>
          <w:top w:space="5"/>
          <w:left w:space="5"/>
          <w:bottom w:space="5"/>
          <w:right w:space="5"/>
        </w:pBdr>
        <w:spacing w:after="0"/>
        <w:ind w:left="1305"/>
        <w:jc w:val="left"/>
      </w:pPr>
      <w:r>
        <w:rPr>
          <w:rFonts w:ascii="Times New Roman" w:hAnsi="Times New Roman"/>
          <w:b w:val="false"/>
          <w:i w:val="false"/>
          <w:color w:val="000000"/>
          <w:sz w:val="22"/>
        </w:rPr>
        <w:t>(B)AFRLI 61-201 procedures to approve and disapprove work unit baseline changes do not change or modify any contracting procedures related to the need for an updated ASP/AP as described above.</w:t>
      </w:r>
    </w:p>
    <w:p>
      <w:pPr>
        <w:pBdr>
          <w:top w:space="5"/>
          <w:left w:space="5"/>
          <w:bottom w:space="5"/>
          <w:right w:space="5"/>
        </w:pBdr>
        <w:spacing w:after="0"/>
        <w:ind w:left="225"/>
        <w:jc w:val="left"/>
      </w:pPr>
      <w:r>
        <w:rPr>
          <w:rFonts w:ascii="Times New Roman" w:hAnsi="Times New Roman"/>
          <w:b w:val="false"/>
          <w:i w:val="false"/>
          <w:color w:val="000000"/>
          <w:sz w:val="22"/>
        </w:rPr>
        <w:t>(b)(1) Research and Development (R&amp;D)/Enterprise Contracting ASPs, APs, and SASS: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840"/>
        <w:gridCol w:w="7734"/>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R&amp;D</w:t>
            </w:r>
            <w:r>
              <w:rPr>
                <w:rFonts w:ascii="Times New Roman" w:hAnsi="Times New Roman"/>
                <w:b/>
                <w:i w:val="false"/>
                <w:color w:val="000000"/>
                <w:vertAlign w:val="superscript"/>
              </w:rPr>
              <w:t>1</w:t>
            </w:r>
          </w:p>
        </w:tc>
      </w:tr>
      <w:tr>
        <w:trPr>
          <w:trHeight w:val="79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 included in the definition of services in 10 U.S.C. 2330 and AFI 63-138, paragraph 1.2.1.4.)Research and Development (R&amp;D)</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AFRL/CC</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$50M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 &lt; $50M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Requirements chain</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Delegated to CA. Further delegable to lo lower than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w:p>
      <w:pPr>
        <w:pBdr>
          <w:top w:space="5"/>
          <w:left w:space="5"/>
          <w:bottom w:space="5"/>
          <w:right w:space="5"/>
        </w:pBdr>
        <w:spacing w:after="0"/>
        <w:ind w:left="225"/>
        <w:jc w:val="left"/>
      </w:pPr>
      <w:r>
        <w:rPr>
          <w:rFonts w:ascii="Times New Roman" w:hAnsi="Times New Roman"/>
          <w:b w:val="false"/>
          <w:i w:val="false"/>
          <w:color w:val="000000"/>
          <w:sz w:val="22"/>
        </w:rPr>
        <w:t>Contracted Services ASPs, APs, and SASS subject to AFI 63-138:</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840"/>
        <w:gridCol w:w="7734"/>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Authority for Contracted Services ASPs and APs/SASS</w:t>
            </w:r>
            <w:r>
              <w:rPr>
                <w:rFonts w:ascii="Times New Roman" w:hAnsi="Times New Roman"/>
                <w:b/>
                <w:i w:val="false"/>
                <w:color w:val="000000"/>
                <w:vertAlign w:val="superscript"/>
              </w:rPr>
              <w:t>1</w:t>
            </w:r>
          </w:p>
        </w:tc>
      </w:tr>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(Included in the definition of services in 10 U.S.C. 2330 and AFI 63-138)</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≥$500M &lt;$1B</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≥$100M &lt;$500M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 $10M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&gt; SAT &lt; $10M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Technical Executive Officer (TEO) or requirements chain for non-TEO efforts</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 xml:space="preserve"> Delegable to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teams/PK-Central/AFCC/contracting_services_reports/AFMC%20Services%20Management%20Agreement%20and%20Delegations/Forms/AllItems.aspx" Type="http://schemas.openxmlformats.org/officeDocument/2006/relationships/hyperlink" Id="rId4"/>
    <Relationship TargetMode="External" Target="https://usaf.dps.mil/teams/PK-Central/AFCC/contracting_services_reports/AFMC%20Services%20Management%20Agreement%20and%20Delegations/Forms/AllItems.aspx" Type="http://schemas.openxmlformats.org/officeDocument/2006/relationships/hyperlink" Id="rId5"/>
    <Relationship TargetMode="External" Target="https://www.my.af.mil/gcss-af/USAF/AFP40/d/s6925EC13538A0FB5E044080020E329A9/Files/PKunique/PKPolicyVault/ASPTemplate%20FinalR1.ppt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