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**ID__AFFARS_pgi_5307_topic_14__ID**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5307.104</w:t>
      </w:r>
      <w:r>
        <w:rPr>
          <w:rFonts w:ascii="Times New Roman" w:hAnsi="Times New Roman"/>
          <w:color w:val="000000"/>
          <w:sz w:val="31"/>
        </w:rPr>
        <w:t xml:space="preserve"> General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other than full and open competitive acquisitions, all acquisition strategy documents (e.g., Acquisition Plans, and Streamlined Acquisition Strategy Summaries above the SAT) should be coordinated with the Competition Advocate unless one of the exceptions at AFFARS </w:t>
      </w:r>
      <w:hyperlink r:id="rId4">
        <w:r>
          <w:rPr>
            <w:rStyle w:val="Hyperlink"/>
            <w:rFonts w:ascii="Times New Roman" w:hAnsi="Times New Roman"/>
            <w:b w:val="false"/>
            <w:i w:val="false"/>
            <w:color w:val="0000ff"/>
            <w:sz w:val="22"/>
            <w:u w:val="single"/>
          </w:rPr>
          <w:t>5307.104-92</w:t>
        </w:r>
      </w:hyperlink>
      <w:r>
        <w:rPr>
          <w:rFonts w:ascii="Times New Roman" w:hAnsi="Times New Roman"/>
          <w:b w:val="false"/>
          <w:i w:val="false"/>
          <w:color w:val="000000"/>
          <w:sz w:val="22"/>
        </w:rPr>
        <w:t>(b)(2) applies.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7_104_92.dita#AFFARS_5307_topic_6"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