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**ID__AFFARS_pgi_5309_topic_9__ID**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5309.105-1</w:t>
      </w:r>
      <w:r>
        <w:rPr>
          <w:rFonts w:ascii="Times New Roman" w:hAnsi="Times New Roman"/>
          <w:color w:val="000000"/>
          <w:sz w:val="31"/>
        </w:rPr>
        <w:t xml:space="preserve"> Obtaining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questions</w:t>
        </w:r>
      </w:hyperlink>
      <w:r>
        <w:rPr>
          <w:rFonts w:ascii="Times New Roman" w:hAnsi="Times New Roman"/>
          <w:b w:val="false"/>
          <w:i w:val="false"/>
          <w:color w:val="000000"/>
          <w:sz w:val="22"/>
        </w:rPr>
        <w:t xml:space="preserve"> may be applicable and included in the questionnaire prepared for submittal to the contractor. Questionnaire results should be included as substantiating material with the contracting officer’s determination of responsibility or non-responsibility.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contractor_responsibility_sample_questions.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