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**ID__AFFARS_SMC_PGI_5309_105_2__ID**</w:t>
      </w:r>
    </w:p>
    <w:p>
      <w:pPr>
        <w:pStyle w:val="Heading3"/>
        <w:spacing w:after="199"/>
        <w:ind w:left="120"/>
        <w:jc w:val="left"/>
      </w:pPr>
      <w:r>
        <w:rPr>
          <w:rFonts w:ascii="Times New Roman" w:hAnsi="Times New Roman"/>
          <w:color w:val="000000"/>
          <w:sz w:val="31"/>
        </w:rPr>
        <w:t>SMC PGI 5309.105-2</w:t>
      </w:r>
      <w:r>
        <w:rPr>
          <w:rFonts w:ascii="Times New Roman" w:hAnsi="Times New Roman"/>
          <w:color w:val="000000"/>
          <w:sz w:val="31"/>
        </w:rPr>
        <w:t xml:space="preserve"> Determinations and Documentation</w:t>
      </w:r>
    </w:p>
    <w:p>
      <w:pPr>
        <w:pBdr>
          <w:top w:space="5"/>
          <w:left w:space="5"/>
          <w:bottom w:space="5"/>
          <w:right w:space="5"/>
        </w:pBdr>
        <w:spacing w:after="0"/>
        <w:ind w:left="225"/>
        <w:jc w:val="left"/>
      </w:pPr>
      <w:r>
        <w:rPr>
          <w:rFonts w:ascii="Times New Roman" w:hAnsi="Times New Roman"/>
          <w:b w:val="false"/>
          <w:i w:val="false"/>
          <w:color w:val="000000"/>
          <w:sz w:val="22"/>
        </w:rP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pPr>
        <w:pBdr>
          <w:top w:space="5"/>
          <w:left w:space="5"/>
          <w:bottom w:space="5"/>
          <w:right w:space="5"/>
        </w:pBdr>
        <w:spacing w:after="0"/>
        <w:ind w:left="945"/>
        <w:jc w:val="left"/>
      </w:pPr>
      <w:r>
        <w:rPr>
          <w:rFonts w:ascii="Times New Roman" w:hAnsi="Times New Roman"/>
          <w:b w:val="false"/>
          <w:i w:val="false"/>
          <w:color w:val="000000"/>
          <w:sz w:val="22"/>
        </w:rP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Responsibility / Non</w:t>
            </w:r>
            <w:r>
              <w:rPr>
                <w:rFonts w:ascii="Times New Roman" w:hAnsi="Times New Roman"/>
                <w:b/>
                <w:i w:val="false"/>
                <w:color w:val="000000"/>
                <w:sz w:val="22"/>
              </w:rPr>
              <w:t>-</w:t>
            </w:r>
            <w:r>
              <w:rPr>
                <w:rFonts w:ascii="Times New Roman" w:hAnsi="Times New Roman"/>
                <w:b/>
                <w:i w:val="false"/>
                <w:color w:val="000000"/>
                <w:sz w:val="22"/>
              </w:rPr>
              <w:t>responsibility D&amp;F</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Officer's D&amp;F</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Add / Remove Company From CRWL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1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Entering into Discussions (or equivalent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10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(unless Note 2 applies)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Resulting from an ECP</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Postaward Consent to Subcontract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Bdr>
          <w:top w:space="5"/>
          <w:left w:space="5"/>
          <w:bottom w:space="5"/>
          <w:right w:space="5"/>
        </w:pBdr>
        <w:spacing w:after="0"/>
        <w:ind w:left="225"/>
        <w:jc w:val="left"/>
      </w:pPr>
      <w:r>
        <w:rPr>
          <w:rFonts w:ascii="Times New Roman" w:hAnsi="Times New Roman"/>
          <w:b/>
          <w:i w:val="false"/>
          <w:color w:val="000000"/>
          <w:sz w:val="22"/>
        </w:rPr>
        <w:t>Note 1:</w:t>
      </w:r>
      <w:r>
        <w:rPr>
          <w:rFonts w:ascii="Times New Roman" w:hAnsi="Times New Roman"/>
          <w:b w:val="false"/>
          <w:i w:val="false"/>
          <w:color w:val="000000"/>
          <w:sz w:val="22"/>
        </w:rP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Bdr>
          <w:top w:space="5"/>
          <w:left w:space="5"/>
          <w:bottom w:space="5"/>
          <w:right w:space="5"/>
        </w:pBdr>
        <w:spacing w:after="0"/>
        <w:ind w:left="225"/>
        <w:jc w:val="left"/>
      </w:pPr>
      <w:r>
        <w:rPr>
          <w:rFonts w:ascii="Times New Roman" w:hAnsi="Times New Roman"/>
          <w:b/>
          <w:i w:val="false"/>
          <w:color w:val="000000"/>
          <w:sz w:val="22"/>
        </w:rPr>
        <w:t>Note 2:</w:t>
      </w:r>
      <w:r>
        <w:rPr>
          <w:rFonts w:ascii="Times New Roman" w:hAnsi="Times New Roman"/>
          <w:b w:val="false"/>
          <w:i w:val="false"/>
          <w:color w:val="000000"/>
          <w:sz w:val="22"/>
        </w:rP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