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**ID__AFFARS_SMC_PGI_5309_504__ID**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5309.504</w:t>
      </w:r>
      <w:r>
        <w:rPr>
          <w:rFonts w:ascii="Times New Roman" w:hAnsi="Times New Roman"/>
          <w:color w:val="000000"/>
          <w:sz w:val="31"/>
        </w:rPr>
        <w:t xml:space="preserve"> Contracting Officer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Guide to Preparing an Organizational Conflict of Interest (OCI) Determination and Findings (D&amp;F)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helpful tips on performing the contracting officer’s OCI analysis.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OCI D&amp;F Template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a guide to documenting the contracting officer’s OCI analysis in the D&amp;F required by FAR 9.5.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When issuing the notification at FAR 9.504(e), consider requesting submission of an OCI Mitigation Plan consistent with the SMC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OCI Mitigation Plan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guide_to_preparing_OCI_DandF_template.docx" Type="http://schemas.openxmlformats.org/officeDocument/2006/relationships/hyperlink" Id="rId4"/>
    <Relationship TargetMode="External" Target="https://cs2.eis.af.mil/sites/10059/afcc/knowledge_center/affars_pgi_related_documents/OCI_DandF_Template.docx" Type="http://schemas.openxmlformats.org/officeDocument/2006/relationships/hyperlink" Id="rId5"/>
    <Relationship TargetMode="External" Target="https://cs2.eis.af.mil/sites/10059/afcc/knowledge_center/affars_pgi_related_documents/OCI_mitigation_plan_checklist.doc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