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**ID__AFFARS_AFMC_PGI_5312_102__ID**</w:t>
      </w:r>
    </w:p>
    <w:p>
      <w:pPr>
        <w:pStyle w:val="Heading3"/>
        <w:spacing w:after="199"/>
        <w:ind w:left="120"/>
        <w:jc w:val="left"/>
      </w:pPr>
      <w:r>
        <w:rPr>
          <w:rFonts w:ascii="Times New Roman" w:hAnsi="Times New Roman"/>
          <w:color w:val="000000"/>
          <w:sz w:val="31"/>
        </w:rPr>
        <w:t>AFMC PGI 5312.102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(a)(i)(A) To satisfy the requirements of DFARS 212.102(a)(i) and DFARS PGI 212.102(a)(i), the Commercial Item Determination (CID) may be written as a memorandum, documented in the acquisition plan or contracting officer’s market research document. The CID should address the minimum components listed below:</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Description of supplies or services;</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w:t>
      </w:r>
      <w:r>
        <w:rPr>
          <w:rFonts w:ascii="Times New Roman" w:hAnsi="Times New Roman"/>
          <w:b w:val="false"/>
          <w:i/>
          <w:color w:val="000000"/>
          <w:sz w:val="22"/>
        </w:rPr>
        <w:t>Basis on which the supply or service meets the definition of “Commercial Item” as defined in FAR 2.101. Specify which paragraph of the FAR 2.101 definition the supply or service meets, and the rationale for making the determination based on that paragraph;</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t>
      </w:r>
      <w:r>
        <w:rPr>
          <w:rFonts w:ascii="Times New Roman" w:hAnsi="Times New Roman"/>
          <w:b w:val="false"/>
          <w:i/>
          <w:color w:val="000000"/>
          <w:sz w:val="22"/>
        </w:rPr>
        <w:t>Identify and cite key considerations from any advisory reports or market research relied on that were integral to the determination. For example, this would include, but is not limited to: DCMA advisory reports, engineering analyses, or any other market research;</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w:t>
      </w:r>
      <w:r>
        <w:rPr>
          <w:rFonts w:ascii="Times New Roman" w:hAnsi="Times New Roman"/>
          <w:b w:val="false"/>
          <w:i/>
          <w:color w:val="000000"/>
          <w:sz w:val="22"/>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 signature and date. Note that if the determination relies on subsections (1)(ii), (3), (4), or (6) of the “commercial item” definition at FAR 2.101, determinations are approved at one level above the contracting officer in accordance with DFARS 212.102(a)(i)(C).</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