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**ID__AFFARS_pgi_5314_topic_4__ID**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AFMC PGI 5314.404-1</w:t>
      </w:r>
      <w:r>
        <w:rPr>
          <w:rFonts w:ascii="Times New Roman" w:hAnsi="Times New Roman"/>
          <w:color w:val="000000"/>
          <w:sz w:val="31"/>
        </w:rPr>
        <w:t xml:space="preserve"> Cancellation of Invitations after Opening</w:t>
      </w:r>
    </w:p>
    <w:p>
      <w:pPr>
        <w:pBdr>
          <w:top w:space="5"/>
          <w:left w:space="5"/>
          <w:bottom w:space="5"/>
          <w:right w:space="5"/>
        </w:pBdr>
        <w:spacing w:after="0"/>
        <w:ind w:left="225"/>
        <w:jc w:val="left"/>
      </w:pPr>
      <w:r>
        <w:rPr>
          <w:rFonts w:ascii="Times New Roman" w:hAnsi="Times New Roman"/>
          <w:b w:val="false"/>
          <w:i w:val="false"/>
          <w:color w:val="000000"/>
          <w:sz w:val="22"/>
        </w:rPr>
        <w:t>(a)(3) In the event an invitation for bid (IFB) is to be canceled after opening and all offers will be rejected, an Abstract should be completed and marked accordingly to indicate “all bids have been rejected” and “purchase will not be made.” If the IFB is only partially canceled, the abstract should be marked to clearly indicate which of the items are being canceled.</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