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spacing w:after="0"/>
        <w:ind w:left="120"/>
        <w:jc w:val="left"/>
      </w:pPr>
      <w:r>
        <w:rPr>
          <w:rFonts w:ascii="Times New Roman" w:hAnsi="Times New Roman"/>
          <w:b w:val="false"/>
          <w:i w:val="false"/>
          <w:color w:val="000000"/>
          <w:sz w:val="22"/>
        </w:rPr>
        <w:t>**ID__AFFARS_pgi_5315_topic_3__ID**</w:t>
      </w:r>
      <w:r>
        <w:rPr>
          <w:rFonts w:ascii="Times New Roman" w:hAnsi="Times New Roman"/>
          <w:b w:val="false"/>
          <w:i w:val="false"/>
          <w:color w:val="000000"/>
          <w:sz w:val="22"/>
        </w:rPr>
        <w:t xml:space="preserve"> </w:t>
      </w:r>
    </w:p>
    <w:p>
      <w:pPr>
        <w:pStyle w:val="Heading3"/>
        <w:spacing w:after="199"/>
        <w:ind w:left="120"/>
        <w:jc w:val="left"/>
      </w:pPr>
      <w:r>
        <w:rPr>
          <w:rFonts w:ascii="Times New Roman" w:hAnsi="Times New Roman"/>
          <w:color w:val="000000"/>
          <w:sz w:val="31"/>
        </w:rPr>
        <w:t>AF PGI 5315.209-90</w:t>
      </w:r>
      <w:r>
        <w:rPr>
          <w:rFonts w:ascii="Times New Roman" w:hAnsi="Times New Roman"/>
          <w:color w:val="000000"/>
          <w:sz w:val="31"/>
        </w:rPr>
        <w:t xml:space="preserve"> Solicitation Provisions and Contract Clauses</w:t>
      </w:r>
    </w:p>
    <w:p>
      <w:pPr>
        <w:pBdr>
          <w:top w:space="5"/>
          <w:left w:space="5"/>
          <w:bottom w:space="5"/>
          <w:right w:space="5"/>
        </w:pBdr>
        <w:spacing w:after="0"/>
        <w:ind w:left="225"/>
        <w:jc w:val="left"/>
      </w:pPr>
      <w:r>
        <w:rPr>
          <w:rFonts w:ascii="Times New Roman" w:hAnsi="Times New Roman"/>
          <w:b w:val="false"/>
          <w:i w:val="false"/>
          <w:color w:val="000000"/>
          <w:sz w:val="22"/>
        </w:rPr>
        <w:t xml:space="preserve">(a) The contracting officer may include language in Section L (or equivalent in a solicitation for the acquisition of a commercial item) substantially the same as the following when a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254</w:t>
        </w:r>
      </w:hyperlink>
      <w:r>
        <w:rPr>
          <w:rFonts w:ascii="Times New Roman" w:hAnsi="Times New Roman"/>
          <w:b w:val="false"/>
          <w:i w:val="false"/>
          <w:color w:val="000000"/>
          <w:sz w:val="22"/>
        </w:rPr>
        <w:t>, Contract Security Classification Specification is a requirement at time of award: “The offeror must possess, or acquire prior to award of a contract, a facility clearance equal to the highest classification stated on the Contract Security Classification Specification (DD Form 254) attached to the solicitation.”</w:t>
      </w:r>
    </w:p>
    <w:p>
      <w:pPr>
        <w:pBdr>
          <w:top w:space="5"/>
          <w:left w:space="5"/>
          <w:bottom w:space="5"/>
          <w:right w:space="5"/>
        </w:pBdr>
        <w:spacing w:after="0"/>
        <w:ind w:left="225"/>
        <w:jc w:val="left"/>
      </w:pPr>
      <w:r>
        <w:rPr>
          <w:rFonts w:ascii="Times New Roman" w:hAnsi="Times New Roman"/>
          <w:b w:val="false"/>
          <w:i w:val="false"/>
          <w:color w:val="000000"/>
          <w:sz w:val="22"/>
        </w:rPr>
        <w:t>(b) The contracting officer may include a provision substantially the same as the following. When access to classified documents is contemplated, the contracting officer may include a provision substantially the same as the provision with its Alternate I:</w:t>
      </w:r>
    </w:p>
    <w:p>
      <w:pPr>
        <w:pBdr>
          <w:top w:space="5"/>
          <w:left w:space="5"/>
          <w:bottom w:space="5"/>
          <w:right w:space="5"/>
        </w:pBdr>
        <w:spacing w:after="0"/>
        <w:ind w:left="225"/>
        <w:jc w:val="left"/>
      </w:pPr>
      <w:r>
        <w:rPr>
          <w:rFonts w:ascii="Times New Roman" w:hAnsi="Times New Roman"/>
          <w:b/>
          <w:i/>
          <w:color w:val="000000"/>
          <w:sz w:val="22"/>
        </w:rPr>
        <w:t>NOTICE OF PRE-BID/PRE-PROPOSAL CONFERENCE</w:t>
      </w:r>
    </w:p>
    <w:p>
      <w:pPr>
        <w:pBdr>
          <w:top w:space="5"/>
          <w:left w:space="5"/>
          <w:bottom w:space="5"/>
          <w:right w:space="5"/>
        </w:pBdr>
        <w:spacing w:after="0"/>
        <w:ind w:left="225"/>
        <w:jc w:val="left"/>
      </w:pPr>
      <w:r>
        <w:rPr>
          <w:rFonts w:ascii="Times New Roman" w:hAnsi="Times New Roman"/>
          <w:b w:val="false"/>
          <w:i w:val="false"/>
          <w:color w:val="000000"/>
          <w:sz w:val="22"/>
        </w:rPr>
        <w:t>(a) A pre-bid/pre-proposal conference will be conducted at [insert location including full address] on [insert date] at [insert time] for the purpose of answering questions regarding this solicitation.</w:t>
      </w:r>
    </w:p>
    <w:p>
      <w:pPr>
        <w:pBdr>
          <w:top w:space="5"/>
          <w:left w:space="5"/>
          <w:bottom w:space="5"/>
          <w:right w:space="5"/>
        </w:pBdr>
        <w:spacing w:after="0"/>
        <w:ind w:left="225"/>
        <w:jc w:val="left"/>
      </w:pPr>
      <w:r>
        <w:rPr>
          <w:rFonts w:ascii="Times New Roman" w:hAnsi="Times New Roman"/>
          <w:b w:val="false"/>
          <w:i/>
          <w:color w:val="000000"/>
          <w:sz w:val="22"/>
        </w:rPr>
        <w:t>(b) Submit the names of all attendees (not to exceed [insert number of attendees]) to [insert point of contact name, address, and phone number] prior to [insert date]. This information must be provided in advance in order to ensure access to the military base/conference site and adequate seating for the conference attendees.</w:t>
      </w:r>
    </w:p>
    <w:p>
      <w:pPr>
        <w:pBdr>
          <w:top w:space="5"/>
          <w:left w:space="5"/>
          <w:bottom w:space="5"/>
          <w:right w:space="5"/>
        </w:pBdr>
        <w:spacing w:after="0"/>
        <w:ind w:left="225"/>
        <w:jc w:val="left"/>
      </w:pPr>
      <w:r>
        <w:rPr>
          <w:rFonts w:ascii="Times New Roman" w:hAnsi="Times New Roman"/>
          <w:b w:val="false"/>
          <w:i w:val="false"/>
          <w:color w:val="000000"/>
          <w:sz w:val="22"/>
        </w:rPr>
        <w:t>(c) Bidders/Offerors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pPr>
        <w:pBdr>
          <w:top w:space="5"/>
          <w:left w:space="5"/>
          <w:bottom w:space="5"/>
          <w:right w:space="5"/>
        </w:pBdr>
        <w:spacing w:after="0"/>
        <w:ind w:left="225"/>
        <w:jc w:val="left"/>
      </w:pPr>
      <w:r>
        <w:rPr>
          <w:rFonts w:ascii="Times New Roman" w:hAnsi="Times New Roman"/>
          <w:b w:val="false"/>
          <w:i/>
          <w:color w:val="000000"/>
          <w:sz w:val="22"/>
        </w:rPr>
        <w:t>(d) A record of the conference shall be made and furnished to all prospective bidders/offerors. The record should include minutes of the meeting, including questions (on a non-attribution basis) and answers.</w:t>
      </w:r>
    </w:p>
    <w:p>
      <w:pPr>
        <w:pBdr>
          <w:top w:space="5"/>
          <w:left w:space="5"/>
          <w:bottom w:space="5"/>
          <w:right w:space="5"/>
        </w:pBdr>
        <w:spacing w:after="0"/>
        <w:ind w:left="225"/>
        <w:jc w:val="left"/>
      </w:pPr>
      <w:r>
        <w:rPr>
          <w:rFonts w:ascii="Times New Roman" w:hAnsi="Times New Roman"/>
          <w:b/>
          <w:i/>
          <w:color w:val="000000"/>
          <w:sz w:val="22"/>
        </w:rPr>
        <w:t>ALTERNATE I</w:t>
      </w:r>
      <w:r>
        <w:rPr>
          <w:rFonts w:ascii="Times New Roman" w:hAnsi="Times New Roman"/>
          <w:b w:val="false"/>
          <w:i/>
          <w:color w:val="000000"/>
          <w:sz w:val="22"/>
        </w:rPr>
        <w:t>. If access to classified documents is contemplated, the contracting officer may add substantially the same as the following paragraphs (e) and (f) to the basic provision:</w:t>
      </w:r>
    </w:p>
    <w:p>
      <w:pPr>
        <w:pBdr>
          <w:top w:space="5"/>
          <w:left w:space="5"/>
          <w:bottom w:space="5"/>
          <w:right w:space="5"/>
        </w:pBdr>
        <w:spacing w:after="0"/>
        <w:ind w:left="225"/>
        <w:jc w:val="left"/>
      </w:pPr>
      <w:r>
        <w:rPr>
          <w:rFonts w:ascii="Times New Roman" w:hAnsi="Times New Roman"/>
          <w:b w:val="false"/>
          <w:i w:val="false"/>
          <w:color w:val="000000"/>
          <w:sz w:val="22"/>
        </w:rPr>
        <w:t>(e) To receive classified documents the recipient must have a security clearance of at least [insert classification] and authorization to act as courier. Security clearance and courier authorization must be on file at the following mailing address:</w:t>
      </w:r>
    </w:p>
    <w:p>
      <w:pPr>
        <w:pBdr>
          <w:top w:space="5"/>
          <w:left w:space="5"/>
          <w:bottom w:space="5"/>
          <w:right w:space="5"/>
        </w:pBdr>
        <w:spacing w:after="0"/>
        <w:ind w:left="225"/>
        <w:jc w:val="left"/>
      </w:pPr>
      <w:r>
        <w:rPr>
          <w:rFonts w:ascii="Times New Roman" w:hAnsi="Times New Roman"/>
          <w:b w:val="false"/>
          <w:i/>
          <w:color w:val="000000"/>
          <w:sz w:val="22"/>
        </w:rPr>
        <w:t>[</w:t>
      </w:r>
      <w:r>
        <w:rPr>
          <w:rFonts w:ascii="Times New Roman" w:hAnsi="Times New Roman"/>
          <w:b w:val="false"/>
          <w:i/>
          <w:color w:val="000000"/>
          <w:sz w:val="22"/>
        </w:rPr>
        <w:t>insert address of organization responsible for this information</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(f) The classification of this conference is [insert classification].</w:t>
      </w:r>
    </w:p>
    <w:p>
      <w:pPr>
        <w:pBdr>
          <w:top w:space="5"/>
          <w:left w:space="5"/>
          <w:bottom w:space="5"/>
          <w:right w:space="5"/>
        </w:pBdr>
        <w:spacing w:after="0"/>
        <w:ind w:left="225"/>
        <w:jc w:val="center"/>
      </w:pPr>
      <w:r>
        <w:rPr>
          <w:rFonts w:ascii="Times New Roman" w:hAnsi="Times New Roman"/>
          <w:b w:val="false"/>
          <w:i/>
          <w:color w:val="000000"/>
          <w:sz w:val="22"/>
        </w:rPr>
        <w:t>{End of Provision}</w:t>
      </w:r>
    </w:p>
    <w:sectPr>
      <w:pgSz w:w="12240" w:h="15840" w:code="1"/>
      <w:pgMar w:top="1440" w:right="1440" w:bottom="1440" w:left="1440"/>
    </w:sectPr>
  </w:body>
</w:document>
</file>

<file path=word/numbering.xml><?xml version="1.0" encoding="utf-8"?>
<w:numbering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r="http://schemas.openxmlformats.org/officeDocument/2006/relationships" xmlns:m="http://schemas.openxmlformats.org/officeDocument/2006/math"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forms/dd/dd0254.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