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**ID__AFFARS_AF_PGI_5315_407_91__ID**</w:t>
      </w:r>
    </w:p>
    <w:p>
      <w:pPr>
        <w:pStyle w:val="Heading3"/>
        <w:spacing w:after="199"/>
        <w:ind w:left="120"/>
        <w:jc w:val="left"/>
      </w:pPr>
      <w:r>
        <w:rPr>
          <w:rFonts w:ascii="Times New Roman" w:hAnsi="Times New Roman"/>
          <w:color w:val="000000"/>
          <w:sz w:val="31"/>
        </w:rPr>
        <w:t>AF PGI 5315.407-91</w:t>
      </w:r>
      <w:r>
        <w:rPr>
          <w:rFonts w:ascii="Times New Roman" w:hAnsi="Times New Roman"/>
          <w:color w:val="000000"/>
          <w:sz w:val="31"/>
        </w:rPr>
        <w:t xml:space="preserve"> Formula Pricing Agreements (FPA)</w:t>
      </w:r>
    </w:p>
    <w:p>
      <w:pPr>
        <w:pBdr>
          <w:top w:space="5"/>
          <w:left w:space="5"/>
          <w:bottom w:space="5"/>
          <w:right w:space="5"/>
        </w:pBdr>
        <w:spacing w:after="0"/>
        <w:ind w:left="225"/>
        <w:jc w:val="left"/>
      </w:pPr>
      <w:r>
        <w:rPr>
          <w:rFonts w:ascii="Times New Roman" w:hAnsi="Times New Roman"/>
          <w:b w:val="false"/>
          <w:i w:val="false"/>
          <w:color w:val="000000"/>
          <w:sz w:val="22"/>
        </w:rPr>
        <w:t>(a) An FPA is any pricing agreement with a contractor that identifies the categories of purchases to be covered (e.g., F-l00 replenishment spares) and:</w:t>
      </w:r>
    </w:p>
    <w:p>
      <w:pPr>
        <w:pBdr>
          <w:top w:space="5"/>
          <w:left w:space="5"/>
          <w:bottom w:space="5"/>
          <w:right w:space="5"/>
        </w:pBdr>
        <w:spacing w:after="0"/>
        <w:ind w:left="585"/>
        <w:jc w:val="left"/>
      </w:pPr>
      <w:r>
        <w:rPr>
          <w:rFonts w:ascii="Times New Roman" w:hAnsi="Times New Roman"/>
          <w:b w:val="false"/>
          <w:i w:val="false"/>
          <w:color w:val="000000"/>
          <w:sz w:val="22"/>
        </w:rPr>
        <w:t>(1) Establishes the pricing methodology for more than one future contract action; and/or,</w:t>
      </w:r>
    </w:p>
    <w:p>
      <w:pPr>
        <w:pBdr>
          <w:top w:space="5"/>
          <w:left w:space="5"/>
          <w:bottom w:space="5"/>
          <w:right w:space="5"/>
        </w:pBdr>
        <w:spacing w:after="0"/>
        <w:ind w:left="585"/>
        <w:jc w:val="left"/>
      </w:pPr>
      <w:r>
        <w:rPr>
          <w:rFonts w:ascii="Times New Roman" w:hAnsi="Times New Roman"/>
          <w:b w:val="false"/>
          <w:i w:val="false"/>
          <w:color w:val="000000"/>
          <w:sz w:val="22"/>
        </w:rPr>
        <w:t>(2) Establishes a pricing methodology for corporate contracts and strategic sourcing agreements; and/or,</w:t>
      </w:r>
    </w:p>
    <w:p>
      <w:pPr>
        <w:pBdr>
          <w:top w:space="5"/>
          <w:left w:space="5"/>
          <w:bottom w:space="5"/>
          <w:right w:space="5"/>
        </w:pBdr>
        <w:spacing w:after="0"/>
        <w:ind w:left="585"/>
        <w:jc w:val="left"/>
      </w:pPr>
      <w:r>
        <w:rPr>
          <w:rFonts w:ascii="Times New Roman" w:hAnsi="Times New Roman"/>
          <w:b w:val="false"/>
          <w:i w:val="false"/>
          <w:color w:val="000000"/>
          <w:sz w:val="22"/>
        </w:rPr>
        <w:t>(3) Specifies the direct cost inputs and the rates and/or factors to be applied to identified bases plus profit or fee.</w:t>
      </w:r>
    </w:p>
    <w:p>
      <w:pPr>
        <w:pBdr>
          <w:top w:space="5"/>
          <w:left w:space="5"/>
          <w:bottom w:space="5"/>
          <w:right w:space="5"/>
        </w:pBdr>
        <w:spacing w:after="0"/>
        <w:ind w:left="585"/>
        <w:jc w:val="left"/>
      </w:pPr>
      <w:r>
        <w:rPr>
          <w:rFonts w:ascii="Times New Roman" w:hAnsi="Times New Roman"/>
          <w:b w:val="false"/>
          <w:i w:val="false"/>
          <w:color w:val="000000"/>
          <w:sz w:val="22"/>
        </w:rP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Bdr>
          <w:top w:space="5"/>
          <w:left w:space="5"/>
          <w:bottom w:space="5"/>
          <w:right w:space="5"/>
        </w:pBdr>
        <w:spacing w:after="0"/>
        <w:ind w:left="225"/>
        <w:jc w:val="left"/>
      </w:pPr>
      <w:r>
        <w:rPr>
          <w:rFonts w:ascii="Times New Roman" w:hAnsi="Times New Roman"/>
          <w:b w:val="false"/>
          <w:i w:val="false"/>
          <w:color w:val="000000"/>
          <w:sz w:val="22"/>
        </w:rP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Bdr>
          <w:top w:space="5"/>
          <w:left w:space="5"/>
          <w:bottom w:space="5"/>
          <w:right w:space="5"/>
        </w:pBdr>
        <w:spacing w:after="0"/>
        <w:ind w:left="225"/>
        <w:jc w:val="left"/>
      </w:pPr>
      <w:r>
        <w:rPr>
          <w:rFonts w:ascii="Times New Roman" w:hAnsi="Times New Roman"/>
          <w:b w:val="false"/>
          <w:i w:val="false"/>
          <w:color w:val="000000"/>
          <w:sz w:val="22"/>
        </w:rPr>
        <w:t>(c) Content and Structure of FPAs. All FPAs should:</w:t>
      </w:r>
    </w:p>
    <w:p>
      <w:pPr>
        <w:pBdr>
          <w:top w:space="5"/>
          <w:left w:space="5"/>
          <w:bottom w:space="5"/>
          <w:right w:space="5"/>
        </w:pBdr>
        <w:spacing w:after="0"/>
        <w:ind w:left="585"/>
        <w:jc w:val="left"/>
      </w:pPr>
      <w:r>
        <w:rPr>
          <w:rFonts w:ascii="Times New Roman" w:hAnsi="Times New Roman"/>
          <w:b w:val="false"/>
          <w:i w:val="false"/>
          <w:color w:val="000000"/>
          <w:sz w:val="22"/>
        </w:rPr>
        <w:t>(1) Be in writing and signed by the contracting officer and an authorized representative of the contractor;</w:t>
      </w:r>
    </w:p>
    <w:p>
      <w:pPr>
        <w:pBdr>
          <w:top w:space="5"/>
          <w:left w:space="5"/>
          <w:bottom w:space="5"/>
          <w:right w:space="5"/>
        </w:pBdr>
        <w:spacing w:after="0"/>
        <w:ind w:left="585"/>
        <w:jc w:val="left"/>
      </w:pPr>
      <w:r>
        <w:rPr>
          <w:rFonts w:ascii="Times New Roman" w:hAnsi="Times New Roman"/>
          <w:b w:val="false"/>
          <w:i w:val="false"/>
          <w:color w:val="000000"/>
          <w:sz w:val="22"/>
        </w:rPr>
        <w:t>(2) Cover no cost elements that would require discrete estimating and analysis;</w:t>
      </w:r>
    </w:p>
    <w:p>
      <w:pPr>
        <w:pBdr>
          <w:top w:space="5"/>
          <w:left w:space="5"/>
          <w:bottom w:space="5"/>
          <w:right w:space="5"/>
        </w:pBdr>
        <w:spacing w:after="0"/>
        <w:ind w:left="585"/>
        <w:jc w:val="left"/>
      </w:pPr>
      <w:r>
        <w:rPr>
          <w:rFonts w:ascii="Times New Roman" w:hAnsi="Times New Roman"/>
          <w:b w:val="false"/>
          <w:i w:val="false"/>
          <w:color w:val="000000"/>
          <w:sz w:val="22"/>
        </w:rPr>
        <w:t>(3) Identify all rates and factors that are a part of the FPA. An FPA may reference FPRA(s), as long as it prescribes the effect and treatment of any changes in the FPRA(s);</w:t>
      </w:r>
    </w:p>
    <w:p>
      <w:pPr>
        <w:pBdr>
          <w:top w:space="5"/>
          <w:left w:space="5"/>
          <w:bottom w:space="5"/>
          <w:right w:space="5"/>
        </w:pBdr>
        <w:spacing w:after="0"/>
        <w:ind w:left="585"/>
        <w:jc w:val="left"/>
      </w:pPr>
      <w:r>
        <w:rPr>
          <w:rFonts w:ascii="Times New Roman" w:hAnsi="Times New Roman"/>
          <w:b w:val="false"/>
          <w:i w:val="false"/>
          <w:color w:val="000000"/>
          <w:sz w:val="22"/>
        </w:rPr>
        <w:t>(4) Establish terms and conditions covering application of the agreement, its expiration date, and any data requirements for systematic monitoring (e.g., provisions for review of actual cost data) to ensure its continuing validity;</w:t>
      </w:r>
    </w:p>
    <w:p>
      <w:pPr>
        <w:pBdr>
          <w:top w:space="5"/>
          <w:left w:space="5"/>
          <w:bottom w:space="5"/>
          <w:right w:space="5"/>
        </w:pBdr>
        <w:spacing w:after="0"/>
        <w:ind w:left="585"/>
        <w:jc w:val="left"/>
      </w:pPr>
      <w:r>
        <w:rPr>
          <w:rFonts w:ascii="Times New Roman" w:hAnsi="Times New Roman"/>
          <w:b w:val="false"/>
          <w:i w:val="false"/>
          <w:color w:val="000000"/>
          <w:sz w:val="22"/>
        </w:rPr>
        <w:t>(5) Provide for cancellation at the option of either party;</w:t>
      </w:r>
    </w:p>
    <w:p>
      <w:pPr>
        <w:pBdr>
          <w:top w:space="5"/>
          <w:left w:space="5"/>
          <w:bottom w:space="5"/>
          <w:right w:space="5"/>
        </w:pBdr>
        <w:spacing w:after="0"/>
        <w:ind w:left="585"/>
        <w:jc w:val="left"/>
      </w:pPr>
      <w:r>
        <w:rPr>
          <w:rFonts w:ascii="Times New Roman" w:hAnsi="Times New Roman"/>
          <w:b w:val="false"/>
          <w:i w:val="false"/>
          <w:color w:val="000000"/>
          <w:sz w:val="22"/>
        </w:rPr>
        <w:t>(6) Require the contractor to notify the contracting officer and the cognizant contract auditor of any significant change in its estimating/accounting system or the cost or pricing data and describe the impact on the FPA;</w:t>
      </w:r>
    </w:p>
    <w:p>
      <w:pPr>
        <w:pBdr>
          <w:top w:space="5"/>
          <w:left w:space="5"/>
          <w:bottom w:space="5"/>
          <w:right w:space="5"/>
        </w:pBdr>
        <w:spacing w:after="0"/>
        <w:ind w:left="585"/>
        <w:jc w:val="left"/>
      </w:pPr>
      <w:r>
        <w:rPr>
          <w:rFonts w:ascii="Times New Roman" w:hAnsi="Times New Roman"/>
          <w:b w:val="false"/>
          <w:i w:val="false"/>
          <w:color w:val="000000"/>
          <w:sz w:val="22"/>
        </w:rPr>
        <w:t>(7) Require the contractor to identify in each specific pricing proposal where the agreement is used:</w:t>
      </w:r>
    </w:p>
    <w:p>
      <w:pPr>
        <w:pBdr>
          <w:top w:space="5"/>
          <w:left w:space="5"/>
          <w:bottom w:space="5"/>
          <w:right w:space="5"/>
        </w:pBdr>
        <w:spacing w:after="0"/>
        <w:ind w:left="945"/>
        <w:jc w:val="left"/>
      </w:pPr>
      <w:r>
        <w:rPr>
          <w:rFonts w:ascii="Times New Roman" w:hAnsi="Times New Roman"/>
          <w:b w:val="false"/>
          <w:i w:val="false"/>
          <w:color w:val="000000"/>
          <w:sz w:val="22"/>
        </w:rPr>
        <w:t>(i) The FPA and the date of the latest certification of cost or pricing data supporting it; and,</w:t>
      </w:r>
    </w:p>
    <w:p>
      <w:pPr>
        <w:pBdr>
          <w:top w:space="5"/>
          <w:left w:space="5"/>
          <w:bottom w:space="5"/>
          <w:right w:space="5"/>
        </w:pBdr>
        <w:spacing w:after="0"/>
        <w:ind w:left="945"/>
        <w:jc w:val="left"/>
      </w:pPr>
      <w:r>
        <w:rPr>
          <w:rFonts w:ascii="Times New Roman" w:hAnsi="Times New Roman"/>
          <w:b w:val="false"/>
          <w:i w:val="false"/>
          <w:color w:val="000000"/>
          <w:sz w:val="22"/>
        </w:rPr>
        <w:t>(ii) Any items in the proposal that are not priced under the agreement;</w:t>
      </w:r>
    </w:p>
    <w:p>
      <w:pPr>
        <w:pBdr>
          <w:top w:space="5"/>
          <w:left w:space="5"/>
          <w:bottom w:space="5"/>
          <w:right w:space="5"/>
        </w:pBdr>
        <w:spacing w:after="0"/>
        <w:ind w:left="585"/>
        <w:jc w:val="left"/>
      </w:pPr>
      <w:r>
        <w:rPr>
          <w:rFonts w:ascii="Times New Roman" w:hAnsi="Times New Roman"/>
          <w:b w:val="false"/>
          <w:i w:val="false"/>
          <w:color w:val="000000"/>
          <w:sz w:val="22"/>
        </w:rPr>
        <w:t>(8) Indicate that the FPA should not be used if the contractor’s purchasing, estimating or accounting systems are disapproved by the Government;</w:t>
      </w:r>
    </w:p>
    <w:p>
      <w:pPr>
        <w:pBdr>
          <w:top w:space="5"/>
          <w:left w:space="5"/>
          <w:bottom w:space="5"/>
          <w:right w:space="5"/>
        </w:pBdr>
        <w:spacing w:after="0"/>
        <w:ind w:left="585"/>
        <w:jc w:val="left"/>
      </w:pPr>
      <w:r>
        <w:rPr>
          <w:rFonts w:ascii="Times New Roman" w:hAnsi="Times New Roman"/>
          <w:b w:val="false"/>
          <w:i w:val="false"/>
          <w:color w:val="000000"/>
          <w:sz w:val="22"/>
        </w:rPr>
        <w:t>(9) Allow for the contracting officer, or designated representative, to perform detailed cost or price analysis on random samples of proposed items and/or items that have unit prices that are significantly higher than previous buys;</w:t>
      </w:r>
    </w:p>
    <w:p>
      <w:pPr>
        <w:pBdr>
          <w:top w:space="5"/>
          <w:left w:space="5"/>
          <w:bottom w:space="5"/>
          <w:right w:space="5"/>
        </w:pBdr>
        <w:spacing w:after="0"/>
        <w:ind w:left="585"/>
        <w:jc w:val="left"/>
      </w:pPr>
      <w:r>
        <w:rPr>
          <w:rFonts w:ascii="Times New Roman" w:hAnsi="Times New Roman"/>
          <w:b w:val="false"/>
          <w:i w:val="false"/>
          <w:color w:val="000000"/>
          <w:sz w:val="22"/>
        </w:rPr>
        <w:t>(10) Be supported by certified cost or pricing data (see FAR 15.403-4) and a signed Certificate of Current Cost or Pricing Data that is submitted when agreement on the FPA is reached (and annually thereafter);</w:t>
      </w:r>
    </w:p>
    <w:p>
      <w:pPr>
        <w:pBdr>
          <w:top w:space="5"/>
          <w:left w:space="5"/>
          <w:bottom w:space="5"/>
          <w:right w:space="5"/>
        </w:pBdr>
        <w:spacing w:after="0"/>
        <w:ind w:left="585"/>
        <w:jc w:val="left"/>
      </w:pPr>
      <w:r>
        <w:rPr>
          <w:rFonts w:ascii="Times New Roman" w:hAnsi="Times New Roman"/>
          <w:b w:val="false"/>
          <w:i w:val="false"/>
          <w:color w:val="000000"/>
          <w:sz w:val="22"/>
        </w:rPr>
        <w:t>(11) Provide that contractual documents for items priced using the FPA, include:</w:t>
      </w:r>
    </w:p>
    <w:p>
      <w:pPr>
        <w:pBdr>
          <w:top w:space="5"/>
          <w:left w:space="5"/>
          <w:bottom w:space="5"/>
          <w:right w:space="5"/>
        </w:pBdr>
        <w:spacing w:after="0"/>
        <w:ind w:left="945"/>
        <w:jc w:val="left"/>
      </w:pPr>
      <w:r>
        <w:rPr>
          <w:rFonts w:ascii="Times New Roman" w:hAnsi="Times New Roman"/>
          <w:b w:val="false"/>
          <w:i w:val="false"/>
          <w:color w:val="000000"/>
          <w:sz w:val="22"/>
        </w:rPr>
        <w:t>(i) The statement at FAR 52.215-10, Price Reduction for Defective Certified Cost or Pricing Data; and,</w:t>
      </w:r>
    </w:p>
    <w:p>
      <w:pPr>
        <w:pBdr>
          <w:top w:space="5"/>
          <w:left w:space="5"/>
          <w:bottom w:space="5"/>
          <w:right w:space="5"/>
        </w:pBdr>
        <w:spacing w:after="0"/>
        <w:ind w:left="945"/>
        <w:jc w:val="left"/>
      </w:pPr>
      <w:r>
        <w:rPr>
          <w:rFonts w:ascii="Times New Roman" w:hAnsi="Times New Roman"/>
          <w:b w:val="false"/>
          <w:i w:val="false"/>
          <w:color w:val="000000"/>
          <w:sz w:val="22"/>
        </w:rPr>
        <w:t>(ii) A clause incorporating the FPA by reference.</w:t>
      </w:r>
    </w:p>
    <w:p>
      <w:pPr>
        <w:pBdr>
          <w:top w:space="5"/>
          <w:left w:space="5"/>
          <w:bottom w:space="5"/>
          <w:right w:space="5"/>
        </w:pBdr>
        <w:spacing w:after="0"/>
        <w:ind w:left="585"/>
        <w:jc w:val="left"/>
      </w:pPr>
      <w:r>
        <w:rPr>
          <w:rFonts w:ascii="Times New Roman" w:hAnsi="Times New Roman"/>
          <w:b w:val="false"/>
          <w:i w:val="false"/>
          <w:color w:val="000000"/>
          <w:sz w:val="22"/>
        </w:rPr>
        <w:t>(12) Be based on a pricing methodology that ensures that unit prices are in proportion to the item’s base cost (see FAR 15.404-1(f)) and that prices may be adjusted, if it is found that:</w:t>
      </w:r>
    </w:p>
    <w:p>
      <w:pPr>
        <w:pBdr>
          <w:top w:space="5"/>
          <w:left w:space="5"/>
          <w:bottom w:space="5"/>
          <w:right w:space="5"/>
        </w:pBdr>
        <w:spacing w:after="0"/>
        <w:ind w:left="945"/>
        <w:jc w:val="left"/>
      </w:pPr>
      <w:r>
        <w:rPr>
          <w:rFonts w:ascii="Times New Roman" w:hAnsi="Times New Roman"/>
          <w:b w:val="false"/>
          <w:i w:val="false"/>
          <w:color w:val="000000"/>
          <w:sz w:val="22"/>
        </w:rPr>
        <w:t>(i) Cost or pricing data supporting the FPA were not accurate, current or complete; or,</w:t>
      </w:r>
    </w:p>
    <w:p>
      <w:pPr>
        <w:pBdr>
          <w:top w:space="5"/>
          <w:left w:space="5"/>
          <w:bottom w:space="5"/>
          <w:right w:space="5"/>
        </w:pBdr>
        <w:spacing w:after="0"/>
        <w:ind w:left="945"/>
        <w:jc w:val="left"/>
      </w:pPr>
      <w:r>
        <w:rPr>
          <w:rFonts w:ascii="Times New Roman" w:hAnsi="Times New Roman"/>
          <w:b w:val="false"/>
          <w:i w:val="false"/>
          <w:color w:val="000000"/>
          <w:sz w:val="22"/>
        </w:rPr>
        <w:t>(ii) The price was developed through incorrect application of the FPA.</w:t>
      </w:r>
    </w:p>
    <w:p>
      <w:pPr>
        <w:pBdr>
          <w:top w:space="5"/>
          <w:left w:space="5"/>
          <w:bottom w:space="5"/>
          <w:right w:space="5"/>
        </w:pBdr>
        <w:spacing w:after="0"/>
        <w:ind w:left="225"/>
        <w:jc w:val="left"/>
      </w:pPr>
      <w:r>
        <w:rPr>
          <w:rFonts w:ascii="Times New Roman" w:hAnsi="Times New Roman"/>
          <w:b w:val="false"/>
          <w:i w:val="false"/>
          <w:color w:val="000000"/>
          <w:sz w:val="22"/>
        </w:rPr>
        <w:t>(d) Contracting office responsibilities, as appropriate:</w:t>
      </w:r>
    </w:p>
    <w:p>
      <w:pPr>
        <w:pBdr>
          <w:top w:space="5"/>
          <w:left w:space="5"/>
          <w:bottom w:space="5"/>
          <w:right w:space="5"/>
        </w:pBdr>
        <w:spacing w:after="0"/>
        <w:ind w:left="585"/>
        <w:jc w:val="left"/>
      </w:pPr>
      <w:r>
        <w:rPr>
          <w:rFonts w:ascii="Times New Roman" w:hAnsi="Times New Roman"/>
          <w:b w:val="false"/>
          <w:i w:val="false"/>
          <w:color w:val="000000"/>
          <w:sz w:val="22"/>
        </w:rPr>
        <w:t>(1) Establish appropriate approval levels for FPAs;</w:t>
      </w:r>
    </w:p>
    <w:p>
      <w:pPr>
        <w:pBdr>
          <w:top w:space="5"/>
          <w:left w:space="5"/>
          <w:bottom w:space="5"/>
          <w:right w:space="5"/>
        </w:pBdr>
        <w:spacing w:after="0"/>
        <w:ind w:left="585"/>
        <w:jc w:val="left"/>
      </w:pPr>
      <w:r>
        <w:rPr>
          <w:rFonts w:ascii="Times New Roman" w:hAnsi="Times New Roman"/>
          <w:b w:val="false"/>
          <w:i w:val="false"/>
          <w:color w:val="000000"/>
          <w:sz w:val="22"/>
        </w:rPr>
        <w:t>(2) Maintain a list of FPAs that identifies each company and the group of items covered under each FPA;</w:t>
      </w:r>
    </w:p>
    <w:p>
      <w:pPr>
        <w:pBdr>
          <w:top w:space="5"/>
          <w:left w:space="5"/>
          <w:bottom w:space="5"/>
          <w:right w:space="5"/>
        </w:pBdr>
        <w:spacing w:after="0"/>
        <w:ind w:left="585"/>
        <w:jc w:val="left"/>
      </w:pPr>
      <w:r>
        <w:rPr>
          <w:rFonts w:ascii="Times New Roman" w:hAnsi="Times New Roman"/>
          <w:b w:val="false"/>
          <w:i w:val="false"/>
          <w:color w:val="000000"/>
          <w:sz w:val="22"/>
        </w:rPr>
        <w:t>(3) Conduct periodic reviews of FPAs and contract actions priced using FPAs; and,</w:t>
      </w:r>
    </w:p>
    <w:p>
      <w:pPr>
        <w:pBdr>
          <w:top w:space="5"/>
          <w:left w:space="5"/>
          <w:bottom w:space="5"/>
          <w:right w:space="5"/>
        </w:pBdr>
        <w:spacing w:after="0"/>
        <w:ind w:left="585"/>
        <w:jc w:val="left"/>
      </w:pPr>
      <w:r>
        <w:rPr>
          <w:rFonts w:ascii="Times New Roman" w:hAnsi="Times New Roman"/>
          <w:b w:val="false"/>
          <w:i w:val="false"/>
          <w:color w:val="000000"/>
          <w:sz w:val="22"/>
        </w:rPr>
        <w:t>(4) Establish agreements with appropriate contract administration offices to provide field pricing support, negotiation support, and administrative support of Air Force FPAs.</w:t>
      </w:r>
    </w:p>
    <w:p>
      <w:pPr>
        <w:pBdr>
          <w:top w:space="5"/>
          <w:left w:space="5"/>
          <w:bottom w:space="5"/>
          <w:right w:space="5"/>
        </w:pBdr>
        <w:spacing w:after="0"/>
        <w:ind w:left="225"/>
        <w:jc w:val="left"/>
      </w:pPr>
      <w:r>
        <w:rPr>
          <w:rFonts w:ascii="Times New Roman" w:hAnsi="Times New Roman"/>
          <w:b w:val="false"/>
          <w:i w:val="false"/>
          <w:color w:val="000000"/>
          <w:sz w:val="22"/>
        </w:rPr>
        <w:t>(e) Contracting officer responsibilities, as appropriate:</w:t>
      </w:r>
    </w:p>
    <w:p>
      <w:pPr>
        <w:pBdr>
          <w:top w:space="5"/>
          <w:left w:space="5"/>
          <w:bottom w:space="5"/>
          <w:right w:space="5"/>
        </w:pBdr>
        <w:spacing w:after="0"/>
        <w:ind w:left="585"/>
        <w:jc w:val="left"/>
      </w:pPr>
      <w:r>
        <w:rPr>
          <w:rFonts w:ascii="Times New Roman" w:hAnsi="Times New Roman"/>
          <w:b w:val="false"/>
          <w:i w:val="false"/>
          <w:color w:val="000000"/>
          <w:sz w:val="22"/>
        </w:rPr>
        <w:t>(1) Obtain field pricing support, including contract audit and technical reviews, in the evaluation and negotiation of FPAs;</w:t>
      </w:r>
    </w:p>
    <w:p>
      <w:pPr>
        <w:pBdr>
          <w:top w:space="5"/>
          <w:left w:space="5"/>
          <w:bottom w:space="5"/>
          <w:right w:space="5"/>
        </w:pBdr>
        <w:spacing w:after="0"/>
        <w:ind w:left="585"/>
        <w:jc w:val="left"/>
      </w:pPr>
      <w:r>
        <w:rPr>
          <w:rFonts w:ascii="Times New Roman" w:hAnsi="Times New Roman"/>
          <w:b w:val="false"/>
          <w:i w:val="false"/>
          <w:color w:val="000000"/>
          <w:sz w:val="22"/>
        </w:rPr>
        <w:t xml:space="preserve">(2) Prepare a price negotiation memorandum covering the pricing factors used in each FPA, including a discussion on how profit or fee was calculated [using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Weighted Guidelines</w:t>
        </w:r>
      </w:hyperlink>
      <w:r>
        <w:rPr>
          <w:rFonts w:ascii="Times New Roman" w:hAnsi="Times New Roman"/>
          <w:b w:val="false"/>
          <w:i w:val="false"/>
          <w:color w:val="000000"/>
          <w:sz w:val="22"/>
        </w:rPr>
        <w:t xml:space="preserve"> or an alternate structured approach];</w:t>
      </w:r>
    </w:p>
    <w:p>
      <w:pPr>
        <w:pBdr>
          <w:top w:space="5"/>
          <w:left w:space="5"/>
          <w:bottom w:space="5"/>
          <w:right w:space="5"/>
        </w:pBdr>
        <w:spacing w:after="0"/>
        <w:ind w:left="585"/>
        <w:jc w:val="left"/>
      </w:pPr>
      <w:r>
        <w:rPr>
          <w:rFonts w:ascii="Times New Roman" w:hAnsi="Times New Roman"/>
          <w:b w:val="false"/>
          <w:i w:val="false"/>
          <w:color w:val="000000"/>
          <w:sz w:val="22"/>
        </w:rPr>
        <w:t>(3) Semi-annually request (through the ACO) the DCAA resident auditor to determine if the contractor is complying with FPA procedures;</w:t>
      </w:r>
    </w:p>
    <w:p>
      <w:pPr>
        <w:pBdr>
          <w:top w:space="5"/>
          <w:left w:space="5"/>
          <w:bottom w:space="5"/>
          <w:right w:space="5"/>
        </w:pBdr>
        <w:spacing w:after="0"/>
        <w:ind w:left="585"/>
        <w:jc w:val="left"/>
      </w:pPr>
      <w:r>
        <w:rPr>
          <w:rFonts w:ascii="Times New Roman" w:hAnsi="Times New Roman"/>
          <w:b w:val="false"/>
          <w:i w:val="false"/>
          <w:color w:val="000000"/>
          <w:sz w:val="22"/>
        </w:rPr>
        <w:t>(4) Annually review each FPA to determine its validity by evaluating recorded cost data, and renegotiate the FPA if appropriate;</w:t>
      </w:r>
    </w:p>
    <w:p>
      <w:pPr>
        <w:pBdr>
          <w:top w:space="5"/>
          <w:left w:space="5"/>
          <w:bottom w:space="5"/>
          <w:right w:space="5"/>
        </w:pBdr>
        <w:spacing w:after="0"/>
        <w:ind w:left="585"/>
        <w:jc w:val="left"/>
      </w:pPr>
      <w:r>
        <w:rPr>
          <w:rFonts w:ascii="Times New Roman" w:hAnsi="Times New Roman"/>
          <w:b w:val="false"/>
          <w:i w:val="false"/>
          <w:color w:val="000000"/>
          <w:sz w:val="22"/>
        </w:rPr>
        <w:t>(5) Determine the effect changed conditions may have on the FPA’s validity. Cancel an FPA when appropriate and notify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(6) Do not use a cancelled FPA;</w:t>
      </w:r>
    </w:p>
    <w:p>
      <w:pPr>
        <w:pBdr>
          <w:top w:space="5"/>
          <w:left w:space="5"/>
          <w:bottom w:space="5"/>
          <w:right w:space="5"/>
        </w:pBdr>
        <w:spacing w:after="0"/>
        <w:ind w:left="585"/>
        <w:jc w:val="left"/>
      </w:pPr>
      <w:r>
        <w:rPr>
          <w:rFonts w:ascii="Times New Roman" w:hAnsi="Times New Roman"/>
          <w:b w:val="false"/>
          <w:i w:val="false"/>
          <w:color w:val="000000"/>
          <w:sz w:val="22"/>
        </w:rPr>
        <w:t>(7) Conduct an evaluation of each proposal under an FPA in order to ensure that the FPA applies to the items and to determine the reasonableness of discrete cost inputs and any non-covered costs (e.g., nonrecurring costs);</w:t>
      </w:r>
    </w:p>
    <w:p>
      <w:pPr>
        <w:pBdr>
          <w:top w:space="5"/>
          <w:left w:space="5"/>
          <w:bottom w:space="5"/>
          <w:right w:space="5"/>
        </w:pBdr>
        <w:spacing w:after="0"/>
        <w:ind w:left="945"/>
        <w:jc w:val="left"/>
      </w:pPr>
      <w:r>
        <w:rPr>
          <w:rFonts w:ascii="Times New Roman" w:hAnsi="Times New Roman"/>
          <w:b w:val="false"/>
          <w:i w:val="false"/>
          <w:color w:val="000000"/>
          <w:sz w:val="22"/>
        </w:rPr>
        <w:t>(i) Compare proposed prices with prior prices, Government estimates, and purchase request estimates to ensure reasonableness, as use of an FPA does not relieve the CO of the responsibility to ensure that the price is fair and reasonable;</w:t>
      </w:r>
    </w:p>
    <w:p>
      <w:pPr>
        <w:pBdr>
          <w:top w:space="5"/>
          <w:left w:space="5"/>
          <w:bottom w:space="5"/>
          <w:right w:space="5"/>
        </w:pBdr>
        <w:spacing w:after="0"/>
        <w:ind w:left="945"/>
        <w:jc w:val="left"/>
      </w:pPr>
      <w:r>
        <w:rPr>
          <w:rFonts w:ascii="Times New Roman" w:hAnsi="Times New Roman"/>
          <w:b w:val="false"/>
          <w:i w:val="false"/>
          <w:color w:val="000000"/>
          <w:sz w:val="22"/>
        </w:rPr>
        <w:t>(ii) Conduct detailed cost analysis on random samples of proposed items and/or items that have unit prices that are significantly higher than previous buys; and, (iii) Ensure that individual contract actions priced using the FPA comply with the terms of the FPA.</w:t>
      </w:r>
    </w:p>
    <w:p>
      <w:pPr>
        <w:pBdr>
          <w:top w:space="5"/>
          <w:left w:space="5"/>
          <w:bottom w:space="5"/>
          <w:right w:space="5"/>
        </w:pBdr>
        <w:spacing w:after="0"/>
        <w:ind w:left="225"/>
        <w:jc w:val="left"/>
      </w:pPr>
      <w:r>
        <w:rPr>
          <w:rFonts w:ascii="Times New Roman" w:hAnsi="Times New Roman"/>
          <w:b w:val="false"/>
          <w:i w:val="false"/>
          <w:color w:val="000000"/>
          <w:sz w:val="22"/>
        </w:rPr>
        <w:t>(f) Contractors could have FPAs, or similar agreements, with other Air Force activities and/or non-Air Force activities. COs may consider using these agreements, but should take care to ensure that the FPA to be used addresses all aspects of their acquisition situation.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wgl.milcloud.mil/wg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