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**ID__AFFARS_AFICC_PGI_5315_404_1_90__ID**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AFICC PGI 5315.404-1-90</w:t>
      </w:r>
      <w:r>
        <w:rPr>
          <w:rFonts w:ascii="Times New Roman" w:hAnsi="Times New Roman"/>
          <w:color w:val="000000"/>
          <w:sz w:val="31"/>
        </w:rPr>
        <w:t xml:space="preserve"> Pricing Assistance or Pricing Assistance Waiver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Pricing assistance is available from AFICC/KPF and may be available from the cognizant AFICC Operating Location. Pricing support requested from AFICC/KPF will be provided at the discretion of AFICC/KPF using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AFICC/KPF Pricing Request Form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Pricing support is defined as: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(1)Level I—Full-Up Pricing Assistance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(2)Level II—Review/Assist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(3)Level III—Respond to Questions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AFICC/KPF support includes but is not limited to: assistance from a dedicated price analyst in the development of Weighted Guidelines (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DD Form 1547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), pricing support for Clearance, development of cost models and proposal assistance, resolving defective pricing situations, price adjustments as a result of disputes and claims, requests for equitable adjustment, PNM review, “re-opener” cases, evaluating performance based payments or assistance during source selections (cost sections of briefings and reports, Sections L&amp;M, etc.).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74/afcc/aficc/KP/KPP/Training/SitePages/Pricing.aspx" Type="http://schemas.openxmlformats.org/officeDocument/2006/relationships/hyperlink" Id="rId4"/>
    <Relationship TargetMode="External" Target="https://www.esd.whs.mil/Portals/54/Documents/DD/forms/dd/dd1547.pdf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