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**ID__AFFARS_AFMC_PGI_5315_3__ID**</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(1.4.1.1) SSA Appointment</w:t>
      </w:r>
    </w:p>
    <w:p>
      <w:pPr>
        <w:pBdr>
          <w:top w:space="5"/>
          <w:left w:space="5"/>
          <w:bottom w:space="5"/>
          <w:right w:space="5"/>
        </w:pBdr>
        <w:spacing w:after="0"/>
        <w:ind w:left="225"/>
        <w:jc w:val="left"/>
      </w:pPr>
      <w:r>
        <w:rPr>
          <w:rFonts w:ascii="Times New Roman" w:hAnsi="Times New Roman"/>
          <w:b w:val="false"/>
          <w:i w:val="false"/>
          <w:color w:val="000000"/>
          <w:sz w:val="22"/>
        </w:rPr>
        <w:t>(a) AFMC/CA is the Source Selection Authority for AFPEO/CM services acquisitions &gt;$100M &lt; $1B, unless further delegated.</w:t>
      </w:r>
    </w:p>
    <w:p>
      <w:pPr>
        <w:pBdr>
          <w:top w:space="5"/>
          <w:left w:space="5"/>
          <w:bottom w:space="5"/>
          <w:right w:space="5"/>
        </w:pBdr>
        <w:spacing w:after="0"/>
        <w:ind w:left="225"/>
        <w:jc w:val="left"/>
      </w:pPr>
      <w:r>
        <w:rPr>
          <w:rFonts w:ascii="Times New Roman" w:hAnsi="Times New Roman"/>
          <w:b w:val="false"/>
          <w:i w:val="false"/>
          <w:color w:val="000000"/>
          <w:sz w:val="22"/>
        </w:rPr>
        <w:t>(b) SSAs have been standardized as follows:</w:t>
      </w:r>
    </w:p>
    <w:p>
      <w:pPr>
        <w:pBdr>
          <w:top w:space="5"/>
          <w:left w:space="5"/>
          <w:bottom w:space="5"/>
          <w:right w:space="5"/>
        </w:pBdr>
        <w:spacing w:after="0"/>
        <w:ind w:left="585"/>
        <w:jc w:val="left"/>
      </w:pPr>
      <w:r>
        <w:rPr>
          <w:rFonts w:ascii="Times New Roman" w:hAnsi="Times New Roman"/>
          <w:b/>
          <w:i w:val="false"/>
          <w:color w:val="000000"/>
          <w:sz w:val="22"/>
        </w:rPr>
        <w:t>(1)</w:t>
      </w:r>
      <w:r>
        <w:rPr>
          <w:rFonts w:ascii="Times New Roman" w:hAnsi="Times New Roman"/>
          <w:b/>
          <w:i w:val="false"/>
          <w:color w:val="000000"/>
          <w:sz w:val="22"/>
        </w:rPr>
        <w:t>Air Force Life Cycle Management Center (AFLCMC) (</w:t>
      </w:r>
      <w:r>
        <w:rPr>
          <w:rFonts w:ascii="Times New Roman" w:hAnsi="Times New Roman"/>
          <w:b w:val="false"/>
          <w:i w:val="false"/>
          <w:color w:val="000000"/>
          <w:sz w:val="22"/>
        </w:rP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449"/>
        <w:gridCol w:w="3934"/>
        <w:gridCol w:w="3798"/>
        <w:gridCol w:w="3393"/>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81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Locations</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Wright-Patterson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Hanscom</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AFLCMC/CC/CA</w:t>
            </w:r>
            <w:r>
              <w:rPr>
                <w:rFonts w:ascii="Times New Roman" w:hAnsi="Times New Roman"/>
                <w:b/>
                <w:i w:val="false"/>
                <w:color w:val="000000"/>
                <w:vertAlign w:val="superscript"/>
              </w:rPr>
              <w:t>1</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1</w:t>
            </w:r>
          </w:p>
        </w:tc>
      </w:tr>
      <w:tr>
        <w:trPr>
          <w:trHeight w:val="1155" w:hRule="atLeast"/>
        </w:trPr>
        <w:tc>
          <w:tcPr>
            <w:tcW w:w="24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$100M</w:t>
            </w:r>
          </w:p>
        </w:tc>
        <w:tc>
          <w:tcPr>
            <w:tcW w:w="39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Directorate/GSU/DRU or 2 letter</w:t>
            </w:r>
            <w:r>
              <w:rPr>
                <w:rFonts w:ascii="Times New Roman" w:hAnsi="Times New Roman"/>
                <w:b/>
                <w:i w:val="false"/>
                <w:color w:val="000000"/>
                <w:vertAlign w:val="superscript"/>
              </w:rPr>
              <w:t>2</w:t>
            </w:r>
          </w:p>
        </w:tc>
        <w:tc>
          <w:tcPr>
            <w:tcW w:w="37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Group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(2)</w:t>
      </w:r>
      <w:r>
        <w:rPr>
          <w:rFonts w:ascii="Times New Roman" w:hAnsi="Times New Roman"/>
          <w:b/>
          <w:i w:val="false"/>
          <w:color w:val="000000"/>
          <w:sz w:val="22"/>
        </w:rPr>
        <w:t>Air Force Nuclear Weapons Center (AFNWC) (</w:t>
      </w:r>
      <w:r>
        <w:rPr>
          <w:rFonts w:ascii="Times New Roman" w:hAnsi="Times New Roman"/>
          <w:b w:val="false"/>
          <w:i w:val="false"/>
          <w:color w:val="000000"/>
          <w:sz w:val="22"/>
        </w:rPr>
        <w:t>contracting organizations are located at Kirtland Air Force Base, Hill Air Force Base, Tinker Air Force Base, and Eglin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5831"/>
        <w:gridCol w:w="4479"/>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 for actions not in AFPEO/CM’s portfolio</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AFNWC/CC/CA</w:t>
            </w:r>
            <w:r>
              <w:rPr>
                <w:rFonts w:ascii="Times New Roman" w:hAnsi="Times New Roman"/>
                <w:b/>
                <w:i w:val="false"/>
                <w:color w:val="000000"/>
                <w:vertAlign w:val="superscript"/>
              </w:rPr>
              <w:t>1</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8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44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&gt;$10M &lt; $100M: delegable to no lower than the PCO or equivalent or higher position within the requiring activity chain.</w:t>
      </w:r>
    </w:p>
    <w:p>
      <w:pPr>
        <w:pBdr>
          <w:top w:space="5"/>
          <w:left w:space="5"/>
          <w:bottom w:space="5"/>
          <w:right w:space="5"/>
        </w:pBdr>
        <w:spacing w:after="0"/>
        <w:ind w:left="585"/>
        <w:jc w:val="left"/>
      </w:pPr>
      <w:r>
        <w:rPr>
          <w:rFonts w:ascii="Times New Roman" w:hAnsi="Times New Roman"/>
          <w:b/>
          <w:i w:val="false"/>
          <w:color w:val="000000"/>
          <w:sz w:val="22"/>
        </w:rPr>
        <w:t>(3)</w:t>
      </w:r>
      <w:r>
        <w:rPr>
          <w:rFonts w:ascii="Times New Roman" w:hAnsi="Times New Roman"/>
          <w:b/>
          <w:i w:val="false"/>
          <w:color w:val="000000"/>
          <w:sz w:val="22"/>
        </w:rPr>
        <w:t>Air Force Research Laboratory (AFRL):</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264"/>
        <w:gridCol w:w="5561"/>
        <w:gridCol w:w="4749"/>
      </w:tblGrid>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Authority</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Value</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Enterprise</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Operational</w:t>
            </w:r>
          </w:p>
        </w:tc>
      </w:tr>
      <w:tr>
        <w:trPr>
          <w:trHeight w:val="54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AFRL/CC/CA</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val="false"/>
                <w:i w:val="false"/>
                <w:color w:val="000000"/>
                <w:sz w:val="22"/>
              </w:rPr>
              <w:t xml:space="preserve"> </w:t>
            </w:r>
            <w:r>
              <w:rPr>
                <w:rFonts w:ascii="Times New Roman" w:hAnsi="Times New Roman"/>
                <w:b/>
                <w:i w:val="false"/>
                <w:color w:val="000000"/>
                <w:sz w:val="22"/>
              </w:rPr>
              <w:t>$50M &lt; $100M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Director</w:t>
            </w:r>
            <w:r>
              <w:rPr>
                <w:rFonts w:ascii="Times New Roman" w:hAnsi="Times New Roman"/>
                <w:b/>
                <w:i w:val="false"/>
                <w:color w:val="000000"/>
                <w:vertAlign w:val="superscript"/>
              </w:rPr>
              <w:t>1</w:t>
            </w:r>
          </w:p>
        </w:tc>
      </w:tr>
      <w:tr>
        <w:trPr>
          <w:trHeight w:val="600" w:hRule="atLeast"/>
        </w:trPr>
        <w:tc>
          <w:tcPr>
            <w:tcW w:w="32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 $50M</w:t>
            </w:r>
          </w:p>
        </w:tc>
        <w:tc>
          <w:tcPr>
            <w:tcW w:w="556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c>
          <w:tcPr>
            <w:tcW w:w="47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Division Chief</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Technical Director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Technical Director chain.</w:t>
      </w:r>
    </w:p>
    <w:p>
      <w:pPr>
        <w:pBdr>
          <w:top w:space="5"/>
          <w:left w:space="5"/>
          <w:bottom w:space="5"/>
          <w:right w:space="5"/>
        </w:pBdr>
        <w:spacing w:after="0"/>
        <w:ind w:left="585"/>
        <w:jc w:val="left"/>
      </w:pPr>
      <w:r>
        <w:rPr>
          <w:rFonts w:ascii="Times New Roman" w:hAnsi="Times New Roman"/>
          <w:b/>
          <w:i w:val="false"/>
          <w:color w:val="000000"/>
          <w:sz w:val="22"/>
        </w:rPr>
        <w:t>(4)</w:t>
      </w:r>
      <w:r>
        <w:rPr>
          <w:rFonts w:ascii="Times New Roman" w:hAnsi="Times New Roman"/>
          <w:b/>
          <w:i w:val="false"/>
          <w:color w:val="000000"/>
          <w:sz w:val="22"/>
        </w:rPr>
        <w:t>AIR FORCE SUSTAINMENT CENTER</w:t>
      </w:r>
      <w:r>
        <w:rPr>
          <w:rFonts w:ascii="Times New Roman" w:hAnsi="Times New Roman"/>
          <w:b w:val="false"/>
          <w:i w:val="false"/>
          <w:color w:val="000000"/>
          <w:sz w:val="22"/>
        </w:rPr>
        <w:t xml:space="preserve"> (contracting organizations are located at Tinker Air Force Base, Hill Air Force Base, and Robins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5696"/>
        <w:gridCol w:w="515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AFSC/CC/CA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w:t>
            </w:r>
            <w:r>
              <w:rPr>
                <w:rFonts w:ascii="Times New Roman" w:hAnsi="Times New Roman"/>
                <w:b w:val="false"/>
                <w:i w:val="false"/>
                <w:color w:val="000000"/>
                <w:sz w:val="22"/>
              </w:rPr>
              <w:t xml:space="preserve"> </w:t>
            </w:r>
            <w:r>
              <w:rPr>
                <w:rFonts w:ascii="Times New Roman" w:hAnsi="Times New Roman"/>
                <w:b/>
                <w:i w:val="false"/>
                <w:color w:val="000000"/>
                <w:sz w:val="22"/>
              </w:rPr>
              <w:t>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Air Base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w:t>
      </w:r>
    </w:p>
    <w:p>
      <w:pPr>
        <w:pBdr>
          <w:top w:space="5"/>
          <w:left w:space="5"/>
          <w:bottom w:space="5"/>
          <w:right w:space="5"/>
        </w:pBdr>
        <w:spacing w:after="0"/>
        <w:ind w:left="225"/>
        <w:jc w:val="left"/>
      </w:pPr>
      <w:r>
        <w:rPr>
          <w:rFonts w:ascii="Times New Roman" w:hAnsi="Times New Roman"/>
          <w:b w:val="false"/>
          <w:i w:val="false"/>
          <w:color w:val="000000"/>
          <w:sz w:val="22"/>
        </w:rPr>
        <w:t>the requiring activity chain.</w:t>
      </w:r>
    </w:p>
    <w:p>
      <w:pPr>
        <w:pBdr>
          <w:top w:space="5"/>
          <w:left w:space="5"/>
          <w:bottom w:space="5"/>
          <w:right w:space="5"/>
        </w:pBdr>
        <w:spacing w:after="0"/>
        <w:ind w:left="585"/>
        <w:jc w:val="left"/>
      </w:pPr>
      <w:r>
        <w:rPr>
          <w:rFonts w:ascii="Times New Roman" w:hAnsi="Times New Roman"/>
          <w:b/>
          <w:i w:val="false"/>
          <w:color w:val="000000"/>
          <w:sz w:val="22"/>
        </w:rPr>
        <w:t>(5)</w:t>
      </w:r>
      <w:r>
        <w:rPr>
          <w:rFonts w:ascii="Times New Roman" w:hAnsi="Times New Roman"/>
          <w:b/>
          <w:i w:val="false"/>
          <w:color w:val="000000"/>
          <w:sz w:val="22"/>
        </w:rPr>
        <w:t>AIR FORCE TEST CENTER (AFTC)</w:t>
      </w:r>
      <w:r>
        <w:rPr>
          <w:rFonts w:ascii="Times New Roman" w:hAnsi="Times New Roman"/>
          <w:b w:val="false"/>
          <w:i w:val="false"/>
          <w:color w:val="000000"/>
          <w:sz w:val="22"/>
        </w:rPr>
        <w:t xml:space="preserve"> (contracting organizations are located at Edwards Air Force Base, Arnold Air Force Base, and Eglin Air Force Base, and Hill Air Force Base):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23"/>
        <w:gridCol w:w="5696"/>
        <w:gridCol w:w="515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Selection Authority for actions not in AFPEO/CM’s portfolio</w:t>
            </w:r>
          </w:p>
        </w:tc>
      </w:tr>
      <w:tr>
        <w:trPr>
          <w:trHeight w:val="81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Value</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Enterprise</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w:t>
            </w:r>
          </w:p>
        </w:tc>
      </w:tr>
      <w:tr>
        <w:trPr>
          <w:trHeight w:val="60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AFTC/CC/CA</w:t>
            </w:r>
            <w:r>
              <w:rPr>
                <w:rFonts w:ascii="Times New Roman" w:hAnsi="Times New Roman"/>
                <w:b/>
                <w:i w:val="false"/>
                <w:color w:val="000000"/>
                <w:vertAlign w:val="superscript"/>
              </w:rPr>
              <w:t>1</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1</w:t>
            </w:r>
          </w:p>
        </w:tc>
      </w:tr>
      <w:tr>
        <w:trPr>
          <w:trHeight w:val="870" w:hRule="atLeast"/>
        </w:trPr>
        <w:tc>
          <w:tcPr>
            <w:tcW w:w="2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 $10M &lt;$100M</w:t>
            </w:r>
          </w:p>
        </w:tc>
        <w:tc>
          <w:tcPr>
            <w:tcW w:w="56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Commander/Director of the requiring Directorate</w:t>
            </w:r>
            <w:r>
              <w:rPr>
                <w:rFonts w:ascii="Times New Roman" w:hAnsi="Times New Roman"/>
                <w:b/>
                <w:i w:val="false"/>
                <w:color w:val="000000"/>
                <w:vertAlign w:val="superscript"/>
              </w:rPr>
              <w:t>2</w:t>
            </w:r>
          </w:p>
        </w:tc>
        <w:tc>
          <w:tcPr>
            <w:tcW w:w="51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Test Wing Commander/Director</w:t>
            </w:r>
            <w:r>
              <w:rPr>
                <w:rFonts w:ascii="Times New Roman" w:hAnsi="Times New Roman"/>
                <w:b/>
                <w:i w:val="false"/>
                <w:color w:val="000000"/>
                <w:vertAlign w:val="superscript"/>
              </w:rPr>
              <w:t>2</w:t>
            </w:r>
          </w:p>
        </w:tc>
      </w:tr>
    </w:tbl>
    <w:p>
      <w:pPr>
        <w:pBdr>
          <w:top w:space="5"/>
          <w:left w:space="5"/>
          <w:bottom w:space="5"/>
          <w:right w:space="5"/>
        </w:pBdr>
        <w:spacing w:after="0"/>
        <w:ind w:left="225"/>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 $100M: delegable to no lower than one level above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&gt;$10M &lt; $100M: delegable to no lower than the PCO or equivalent or higher position within the requiring activity chain.</w:t>
      </w:r>
    </w:p>
    <w:p>
      <w:pPr>
        <w:pBdr>
          <w:top w:space="5"/>
          <w:left w:space="5"/>
          <w:bottom w:space="5"/>
          <w:right w:space="5"/>
        </w:pBdr>
        <w:spacing w:after="0"/>
        <w:ind w:left="225"/>
        <w:jc w:val="left"/>
      </w:pPr>
      <w:r>
        <w:rPr>
          <w:rFonts w:ascii="Times New Roman" w:hAnsi="Times New Roman"/>
          <w:b w:val="false"/>
          <w:i w:val="false"/>
          <w:color w:val="000000"/>
          <w:sz w:val="22"/>
        </w:rP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Staff Summary Sheet Template</w:t>
        </w:r>
      </w:hyperlink>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 Memo Template</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delegation_of_ssa_staff_summary_sheet_template.dotx" Type="http://schemas.openxmlformats.org/officeDocument/2006/relationships/hyperlink" Id="rId4"/>
    <Relationship TargetMode="External" Target="https://cs2.eis.af.mil/sites/10059/afcc/knowledge_center/affars_pgi_related_documents/delegation_of_ssa_memo_template.doc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