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**ID__AFFARS_AFMC_PGI_5315_3D__ID**</w:t>
      </w:r>
    </w:p>
    <w:p>
      <w:pPr>
        <w:pStyle w:val="Heading3"/>
        <w:spacing w:after="199"/>
        <w:ind w:left="120"/>
        <w:jc w:val="left"/>
      </w:pPr>
      <w:r>
        <w:rPr>
          <w:rFonts w:ascii="Times New Roman" w:hAnsi="Times New Roman"/>
          <w:color w:val="000000"/>
          <w:sz w:val="31"/>
        </w:rPr>
        <w:t>AFMC PGI 5315.3</w:t>
      </w:r>
      <w:r>
        <w:rPr>
          <w:rFonts w:ascii="Times New Roman" w:hAnsi="Times New Roman"/>
          <w:color w:val="000000"/>
          <w:sz w:val="31"/>
        </w:rPr>
        <w:t xml:space="preserve"> (2.1.2.3) Draft Request for Proposals (RFP)</w:t>
      </w:r>
    </w:p>
    <w:p>
      <w:pPr>
        <w:pBdr>
          <w:top w:space="5"/>
          <w:left w:space="5"/>
          <w:bottom w:space="5"/>
          <w:right w:space="5"/>
        </w:pBdr>
        <w:spacing w:after="0"/>
        <w:ind w:left="225"/>
        <w:jc w:val="left"/>
      </w:pPr>
      <w:r>
        <w:rPr>
          <w:rFonts w:ascii="Times New Roman" w:hAnsi="Times New Roman"/>
          <w:b w:val="false"/>
          <w:i w:val="false"/>
          <w:color w:val="000000"/>
          <w:sz w:val="22"/>
        </w:rPr>
        <w:t>The PCO provides clear and timely responses to draft RFP comments to ensure potential offerors are as fully informed as possible. These responses include the Government’s rationale when not accepting industry recommended changes to the RFP. In doing so, acquisition teams will continue to benefit from open communication with industry beyond the early requirements definition phase.</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