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**ID__AFFARS_pgi_5315_topic_22__ID**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5315.3</w:t>
      </w:r>
      <w:r>
        <w:rPr>
          <w:rFonts w:ascii="Times New Roman" w:hAnsi="Times New Roman"/>
          <w:color w:val="000000"/>
          <w:sz w:val="31"/>
        </w:rPr>
        <w:t xml:space="preserve"> (2.3.1) Evaluation Factors/Subfactors</w:t>
      </w:r>
    </w:p>
    <w:p>
      <w:pPr>
        <w:pBdr>
          <w:top w:space="5"/>
          <w:left w:space="5"/>
          <w:bottom w:space="5"/>
          <w:right w:space="5"/>
        </w:pBdr>
        <w:spacing w:after="0"/>
        <w:ind w:left="225"/>
        <w:jc w:val="left"/>
      </w:pPr>
      <w:r>
        <w:rPr>
          <w:rFonts w:ascii="Times New Roman" w:hAnsi="Times New Roman"/>
          <w:b w:val="false"/>
          <w:i w:val="false"/>
          <w:color w:val="000000"/>
          <w:sz w:val="22"/>
        </w:rPr>
        <w:t>For all AFRL Sites: consider the following technical and cost factors and/or subfactors:</w:t>
      </w:r>
    </w:p>
    <w:p>
      <w:pPr>
        <w:pBdr>
          <w:top w:space="5"/>
          <w:left w:space="5"/>
          <w:bottom w:space="5"/>
          <w:right w:space="5"/>
        </w:pBdr>
        <w:spacing w:after="0"/>
        <w:ind w:left="225"/>
        <w:jc w:val="left"/>
      </w:pPr>
      <w:r>
        <w:rPr>
          <w:rFonts w:ascii="Times New Roman" w:hAnsi="Times New Roman"/>
          <w:b w:val="false"/>
          <w:i w:val="false"/>
          <w:color w:val="000000"/>
          <w:sz w:val="22"/>
        </w:rPr>
        <w:t>(a) Cost is a substantial factor in Science and Technology (S&amp;T) source selections, but it is significantly less important than all other factors combined in determining the basis for award.</w:t>
      </w:r>
    </w:p>
    <w:p>
      <w:pPr>
        <w:pBdr>
          <w:top w:space="5"/>
          <w:left w:space="5"/>
          <w:bottom w:space="5"/>
          <w:right w:space="5"/>
        </w:pBdr>
        <w:spacing w:after="0"/>
        <w:ind w:left="225"/>
        <w:jc w:val="left"/>
      </w:pPr>
      <w:r>
        <w:rPr>
          <w:rFonts w:ascii="Times New Roman" w:hAnsi="Times New Roman"/>
          <w:b w:val="false"/>
          <w:i w:val="false"/>
          <w:color w:val="000000"/>
          <w:sz w:val="22"/>
        </w:rPr>
        <w:t>(b) Technical:</w:t>
      </w:r>
    </w:p>
    <w:p>
      <w:pPr>
        <w:pBdr>
          <w:top w:space="5"/>
          <w:left w:space="5"/>
          <w:bottom w:space="5"/>
          <w:right w:space="5"/>
        </w:pBdr>
        <w:spacing w:after="0"/>
        <w:ind w:left="585"/>
        <w:jc w:val="left"/>
      </w:pPr>
      <w:r>
        <w:rPr>
          <w:rFonts w:ascii="Times New Roman" w:hAnsi="Times New Roman"/>
          <w:b w:val="false"/>
          <w:i w:val="false"/>
          <w:color w:val="000000"/>
          <w:sz w:val="22"/>
        </w:rPr>
        <w:t>(1) Technical approach: The soundness of the offeror's technical approach, including the offeror's demonstrated understanding of the technical requirement.</w:t>
      </w:r>
    </w:p>
    <w:p>
      <w:pPr>
        <w:pBdr>
          <w:top w:space="5"/>
          <w:left w:space="5"/>
          <w:bottom w:space="5"/>
          <w:right w:space="5"/>
        </w:pBdr>
        <w:spacing w:after="0"/>
        <w:ind w:left="585"/>
        <w:jc w:val="left"/>
      </w:pPr>
      <w:r>
        <w:rPr>
          <w:rFonts w:ascii="Times New Roman" w:hAnsi="Times New Roman"/>
          <w:b w:val="false"/>
          <w:i w:val="false"/>
          <w:color w:val="000000"/>
          <w:sz w:val="22"/>
        </w:rPr>
        <w:t>(2) Qualification: The quantity and quality of experience and qualifications of the proposed personnel relevant to the proposed task. The quantity and quality of the offeror's corporate experience relevant to the proposed task.</w:t>
      </w:r>
    </w:p>
    <w:p>
      <w:pPr>
        <w:pBdr>
          <w:top w:space="5"/>
          <w:left w:space="5"/>
          <w:bottom w:space="5"/>
          <w:right w:space="5"/>
        </w:pBdr>
        <w:spacing w:after="0"/>
        <w:ind w:left="585"/>
        <w:jc w:val="left"/>
      </w:pPr>
      <w:r>
        <w:rPr>
          <w:rFonts w:ascii="Times New Roman" w:hAnsi="Times New Roman"/>
          <w:b w:val="false"/>
          <w:i w:val="false"/>
          <w:color w:val="000000"/>
          <w:sz w:val="22"/>
        </w:rPr>
        <w:t>(3) Management: The degree to which the offeror demonstrates the ability to effectively and efficiently manage and administer the program to a successful conclusion.</w:t>
      </w:r>
    </w:p>
    <w:p>
      <w:pPr>
        <w:pBdr>
          <w:top w:space="5"/>
          <w:left w:space="5"/>
          <w:bottom w:space="5"/>
          <w:right w:space="5"/>
        </w:pBdr>
        <w:spacing w:after="0"/>
        <w:ind w:left="585"/>
        <w:jc w:val="left"/>
      </w:pPr>
      <w:r>
        <w:rPr>
          <w:rFonts w:ascii="Times New Roman" w:hAnsi="Times New Roman"/>
          <w:b w:val="false"/>
          <w:i w:val="false"/>
          <w:color w:val="000000"/>
          <w:sz w:val="22"/>
        </w:rPr>
        <w:t>(4) Facilities: The degree to which the proposed facilities enable accomplishment of the proposed effort.</w:t>
      </w:r>
    </w:p>
    <w:p>
      <w:pPr>
        <w:pBdr>
          <w:top w:space="5"/>
          <w:left w:space="5"/>
          <w:bottom w:space="5"/>
          <w:right w:space="5"/>
        </w:pBdr>
        <w:spacing w:after="0"/>
        <w:ind w:left="225"/>
        <w:jc w:val="left"/>
      </w:pPr>
      <w:r>
        <w:rPr>
          <w:rFonts w:ascii="Times New Roman" w:hAnsi="Times New Roman"/>
          <w:b w:val="false"/>
          <w:i w:val="false"/>
          <w:color w:val="000000"/>
          <w:sz w:val="22"/>
        </w:rPr>
        <w:t>(c) Past Performance Information (PPI):</w:t>
      </w:r>
    </w:p>
    <w:p>
      <w:pPr>
        <w:pBdr>
          <w:top w:space="5"/>
          <w:left w:space="5"/>
          <w:bottom w:space="5"/>
          <w:right w:space="5"/>
        </w:pBdr>
        <w:spacing w:after="0"/>
        <w:ind w:left="585"/>
        <w:jc w:val="left"/>
      </w:pPr>
      <w:r>
        <w:rPr>
          <w:rFonts w:ascii="Times New Roman" w:hAnsi="Times New Roman"/>
          <w:b w:val="false"/>
          <w:i w:val="false"/>
          <w:color w:val="000000"/>
          <w:sz w:val="22"/>
        </w:rPr>
        <w:t>(1)Unlike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35.002). Due to the trial and error nature of the S&amp;T environment, many problems and failures are routine and expected. Therefore, PPI may not be a significant discriminator in S&amp;T source selection decisions.</w:t>
      </w:r>
    </w:p>
    <w:p>
      <w:pPr>
        <w:pBdr>
          <w:top w:space="5"/>
          <w:left w:space="5"/>
          <w:bottom w:space="5"/>
          <w:right w:space="5"/>
        </w:pBdr>
        <w:spacing w:after="0"/>
        <w:ind w:left="585"/>
        <w:jc w:val="left"/>
      </w:pPr>
      <w:r>
        <w:rPr>
          <w:rFonts w:ascii="Times New Roman" w:hAnsi="Times New Roman"/>
          <w:b w:val="false"/>
          <w:i w:val="false"/>
          <w:color w:val="000000"/>
          <w:sz w:val="22"/>
        </w:rPr>
        <w:t>(2)When PPI is used in S&amp;T source selections, tailor the type of past performance data to be collected and the manner in which it is to be evaluated to the specific acquisition. Evaluation of ad hoc past performance information should either be incorporated in other evaluation factors and/or subfactors (e.g., technical approach, qualification, management, facilities) or used as a stand-alone factor or subfactor as appropriate. PCOs should review “Guidance for the Contractor Performance Assessment Reporting System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w:t>
        </w:r>
      </w:hyperlink>
      <w:r>
        <w:rPr>
          <w:rFonts w:ascii="Times New Roman" w:hAnsi="Times New Roman"/>
          <w:b w:val="false"/>
          <w:i w:val="false"/>
          <w:color w:val="000000"/>
          <w:sz w:val="22"/>
        </w:rPr>
        <w:t>)”, for additional guidance on S&amp;T acquisitions.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cpars.gov/pdfs/CPARS-Guidance.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