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**ID__AFFARS_AFMC_PGI_5315_404_2_90__ID**</w:t>
      </w:r>
    </w:p>
    <w:p>
      <w:pPr>
        <w:pStyle w:val="Heading3"/>
        <w:spacing w:after="199"/>
        <w:ind w:left="120"/>
        <w:jc w:val="left"/>
      </w:pPr>
      <w:r>
        <w:rPr>
          <w:rFonts w:ascii="Times New Roman" w:hAnsi="Times New Roman"/>
          <w:color w:val="000000"/>
          <w:sz w:val="31"/>
        </w:rPr>
        <w:t>AFMC PGI 5315.404-2-90</w:t>
      </w:r>
      <w:r>
        <w:rPr>
          <w:rFonts w:ascii="Times New Roman" w:hAnsi="Times New Roman"/>
          <w:color w:val="000000"/>
          <w:sz w:val="31"/>
        </w:rPr>
        <w:t xml:space="preserve"> Data to Support Proposal Analysis</w:t>
      </w:r>
    </w:p>
    <w:p>
      <w:pPr>
        <w:pBdr>
          <w:top w:space="5"/>
          <w:left w:space="5"/>
          <w:bottom w:space="5"/>
          <w:right w:space="5"/>
        </w:pBdr>
        <w:spacing w:after="0"/>
        <w:ind w:left="225"/>
        <w:jc w:val="left"/>
      </w:pPr>
      <w:r>
        <w:rPr>
          <w:rFonts w:ascii="Times New Roman" w:hAnsi="Times New Roman"/>
          <w:b w:val="false"/>
          <w:i w:val="false"/>
          <w:color w:val="000000"/>
          <w:sz w:val="22"/>
        </w:rPr>
        <w:t>(a) Field Pricing Support:</w:t>
      </w:r>
    </w:p>
    <w:p>
      <w:pPr>
        <w:pBdr>
          <w:top w:space="5"/>
          <w:left w:space="5"/>
          <w:bottom w:space="5"/>
          <w:right w:space="5"/>
        </w:pBdr>
        <w:spacing w:after="0"/>
        <w:ind w:left="585"/>
        <w:jc w:val="left"/>
      </w:pPr>
      <w:r>
        <w:rPr>
          <w:rFonts w:ascii="Times New Roman" w:hAnsi="Times New Roman"/>
          <w:b w:val="false"/>
          <w:i w:val="false"/>
          <w:color w:val="000000"/>
          <w:sz w:val="22"/>
        </w:rPr>
        <w:t>(1) The AFNT, led by the contracting officer, will decide the level of field support required from the cognizant DCMA and/or DCAA early in the acquisition.</w:t>
      </w:r>
    </w:p>
    <w:p>
      <w:pPr>
        <w:pBdr>
          <w:top w:space="5"/>
          <w:left w:space="5"/>
          <w:bottom w:space="5"/>
          <w:right w:space="5"/>
        </w:pBdr>
        <w:spacing w:after="0"/>
        <w:ind w:left="585"/>
        <w:jc w:val="left"/>
      </w:pPr>
      <w:r>
        <w:rPr>
          <w:rFonts w:ascii="Times New Roman" w:hAnsi="Times New Roman"/>
          <w:b w:val="false"/>
          <w:i w:val="false"/>
          <w:color w:val="000000"/>
          <w:sz w:val="22"/>
        </w:rPr>
        <w:t>(2) Informal discussions with these two organizations are strongly encouraged. Ultimately, however, the contracting officer will officially request their support and identify specific areas where pricing assistance is requested (e.g., vendor decrements, direct and indirect rates, pricing history, disclosure statement status, etc.).</w:t>
      </w:r>
    </w:p>
    <w:p>
      <w:pPr>
        <w:pBdr>
          <w:top w:space="5"/>
          <w:left w:space="5"/>
          <w:bottom w:space="5"/>
          <w:right w:space="5"/>
        </w:pBdr>
        <w:spacing w:after="0"/>
        <w:ind w:left="585"/>
        <w:jc w:val="left"/>
      </w:pPr>
      <w:r>
        <w:rPr>
          <w:rFonts w:ascii="Times New Roman" w:hAnsi="Times New Roman"/>
          <w:b w:val="false"/>
          <w:i w:val="false"/>
          <w:color w:val="000000"/>
          <w:sz w:val="22"/>
        </w:rPr>
        <w:t>(3) Copies of relevant acquisition documents (e.g., RFP) should be furnished to the cognizant DCMA office with a courtesy copy to the cognizant DCAA office whenever possible, electronically if possible.</w:t>
      </w:r>
    </w:p>
    <w:p>
      <w:pPr>
        <w:pBdr>
          <w:top w:space="5"/>
          <w:left w:space="5"/>
          <w:bottom w:space="5"/>
          <w:right w:space="5"/>
        </w:pBdr>
        <w:spacing w:after="0"/>
        <w:ind w:left="225"/>
        <w:jc w:val="left"/>
      </w:pPr>
      <w:r>
        <w:rPr>
          <w:rFonts w:ascii="Times New Roman" w:hAnsi="Times New Roman"/>
          <w:b w:val="false"/>
          <w:i w:val="false"/>
          <w:color w:val="000000"/>
          <w:sz w:val="22"/>
        </w:rPr>
        <w:t>DCAA treats direct requests from the activity as a signal to begin the audit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(b) Field Pricing Support: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Directive 5105.36</w:t>
        </w:r>
      </w:hyperlink>
      <w:r>
        <w:rPr>
          <w:rFonts w:ascii="Times New Roman" w:hAnsi="Times New Roman"/>
          <w:b w:val="false"/>
          <w:i w:val="false"/>
          <w:color w:val="000000"/>
          <w:sz w:val="22"/>
        </w:rPr>
        <w:t xml:space="preserve"> authorized the Director, Defense Contract Audit Agency (DCAA), to perform all necessary contract audits for the Department of Defense (DoD) and provide accounting and financial advisory services regarding contracts and subcontracts to all DoD Components responsible for procurement and contract administration, and to establish and maintain liaison auditors and financial advisors, as appropriate, at major procuring and contract administration offices.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esd.whs.mil/Portals/54/Documents/DD/issuances/dodd/510536p.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