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5315.404-2-90</w:t>
      </w:r>
      <w:r>
        <w:rPr>
          <w:rFonts w:ascii="Times New Roman" w:hAnsi="Times New Roman"/>
          <w:color w:val="000000"/>
          <w:sz w:val="31"/>
        </w:rPr>
        <w:t xml:space="preserve"> Data to Support Proposal Analysis</w:t>
      </w:r>
    </w:p>
    <w:p>
      <w:pPr>
        <w:pBdr>
          <w:top w:space="5"/>
          <w:left w:space="5"/>
          <w:bottom w:space="5"/>
          <w:right w:space="5"/>
        </w:pBdr>
        <w:spacing w:after="0"/>
        <w:ind w:left="225"/>
        <w:jc w:val="left"/>
      </w:pPr>
      <w:r>
        <w:rPr>
          <w:rFonts w:ascii="Times New Roman" w:hAnsi="Times New Roman"/>
          <w:b w:val="false"/>
          <w:i w:val="false"/>
          <w:color w:val="000000"/>
          <w:sz w:val="22"/>
        </w:rPr>
        <w:t>(a) Field Pricing Support:</w:t>
      </w:r>
    </w:p>
    <w:p>
      <w:pPr>
        <w:pBdr>
          <w:top w:space="5"/>
          <w:left w:space="5"/>
          <w:bottom w:space="5"/>
          <w:right w:space="5"/>
        </w:pBdr>
        <w:spacing w:after="0"/>
        <w:ind w:left="585"/>
        <w:jc w:val="left"/>
      </w:pPr>
      <w:r>
        <w:rPr>
          <w:rFonts w:ascii="Times New Roman" w:hAnsi="Times New Roman"/>
          <w:b w:val="false"/>
          <w:i w:val="false"/>
          <w:color w:val="000000"/>
          <w:sz w:val="22"/>
        </w:rPr>
        <w:t>(1) The AFNT, led by the contracting officer, will decide the level of field support required from the cognizant DCMA and/or DCAA early in the acquisition.</w:t>
      </w:r>
    </w:p>
    <w:p>
      <w:pPr>
        <w:pBdr>
          <w:top w:space="5"/>
          <w:left w:space="5"/>
          <w:bottom w:space="5"/>
          <w:right w:space="5"/>
        </w:pBdr>
        <w:spacing w:after="0"/>
        <w:ind w:left="585"/>
        <w:jc w:val="left"/>
      </w:pPr>
      <w:r>
        <w:rPr>
          <w:rFonts w:ascii="Times New Roman" w:hAnsi="Times New Roman"/>
          <w:b w:val="false"/>
          <w:i w:val="false"/>
          <w:color w:val="000000"/>
          <w:sz w:val="22"/>
        </w:rP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Bdr>
          <w:top w:space="5"/>
          <w:left w:space="5"/>
          <w:bottom w:space="5"/>
          <w:right w:space="5"/>
        </w:pBdr>
        <w:spacing w:after="0"/>
        <w:ind w:left="585"/>
        <w:jc w:val="left"/>
      </w:pPr>
      <w:r>
        <w:rPr>
          <w:rFonts w:ascii="Times New Roman" w:hAnsi="Times New Roman"/>
          <w:b w:val="false"/>
          <w:i w:val="false"/>
          <w:color w:val="000000"/>
          <w:sz w:val="22"/>
        </w:rPr>
        <w:t>(3) Copies of relevant acquisition documents (e.g., RFP) should be furnished to the cognizant DCMA office with a courtesy copy to the cognizant DCAA office whenever possible, electronically if possible.</w:t>
      </w:r>
    </w:p>
    <w:p>
      <w:pPr>
        <w:pBdr>
          <w:top w:space="5"/>
          <w:left w:space="5"/>
          <w:bottom w:space="5"/>
          <w:right w:space="5"/>
        </w:pBdr>
        <w:spacing w:after="0"/>
        <w:ind w:left="225"/>
        <w:jc w:val="left"/>
      </w:pPr>
      <w:r>
        <w:rPr>
          <w:rFonts w:ascii="Times New Roman" w:hAnsi="Times New Roman"/>
          <w:b w:val="false"/>
          <w:i w:val="false"/>
          <w:color w:val="000000"/>
          <w:sz w:val="22"/>
        </w:rPr>
        <w:t>DCAA treats direct requests from the activity as a signal to begin the audit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(b) Field Pricing Support: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5105.36</w:t>
        </w:r>
      </w:hyperlink>
      <w:r>
        <w:rPr>
          <w:rFonts w:ascii="Times New Roman" w:hAnsi="Times New Roman"/>
          <w:b w:val="false"/>
          <w:i w:val="false"/>
          <w:color w:val="000000"/>
          <w:sz w:val="22"/>
        </w:rP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esd.whs.mil/Portals/54/Documents/DD/issuances/dodd/510536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