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**ID__AFFARS_pgi_5315_topic_27__ID**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5315.404-3-90</w:t>
      </w:r>
      <w:r>
        <w:rPr>
          <w:rFonts w:ascii="Times New Roman" w:hAnsi="Times New Roman"/>
          <w:color w:val="000000"/>
          <w:sz w:val="31"/>
        </w:rPr>
        <w:t xml:space="preserve"> Subcontract Pricing Considerations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For complex, high dollar efforts with multiple subcontracts, it is imperative that the prime contractor provide the government with the most up to date information regarding the status of subcontractor proposals, assist audits, and prime contractor’s cost/price analysis reports of their subcontractors. When multiple subcontracts are anticipated, it is recommended that contracting officers include a requirement in sole source RFPs for the prime contractor to complete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Subcontractor Proposal Tracking Matrix</w:t>
        </w:r>
      </w:hyperlink>
      <w:r>
        <w:rPr>
          <w:rFonts w:ascii="Times New Roman" w:hAnsi="Times New Roman"/>
          <w:b w:val="false"/>
          <w:i w:val="false"/>
          <w:color w:val="000000"/>
          <w:sz w:val="22"/>
        </w:rPr>
        <w:t xml:space="preserve"> and submit it with the proposal. This document should be updated throughout the proposal evaluation process until date of agreement on price so the government team is up to date on supplier proposal adequacy issues, concerns and status.</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subcontractor_proposal_tracking_matrix.xls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