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**ID__AFFARS_pgi_5315_topic_28__ID**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5315.406-1</w:t>
      </w:r>
      <w:r>
        <w:rPr>
          <w:rFonts w:ascii="Times New Roman" w:hAnsi="Times New Roman"/>
          <w:color w:val="000000"/>
          <w:sz w:val="31"/>
        </w:rPr>
        <w:t xml:space="preserve"> Pre-negotiation Objectives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</w:t>
      </w:r>
      <w:r>
        <w:rPr>
          <w:rFonts w:ascii="Times New Roman" w:hAnsi="Times New Roman"/>
          <w:b w:val="false"/>
          <w:i/>
          <w:color w:val="000000"/>
          <w:sz w:val="22"/>
        </w:rPr>
        <w:t>Adjudication Procedures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If significant disagreements with DCAA remain after attempts by the contracting officer and the contracting officer’s local management to resolve them, the cognizant SCO will elevate to SAF/AQC as necessary and will provide an explanation of the issue to HQ AFMC/PKF via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AFMC/PK Workflow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MC.PK.Workflow-02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