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**ID__AFFARS_AFMC_PGI_5315_407_2__ID**</w:t>
      </w:r>
    </w:p>
    <w:p>
      <w:pPr>
        <w:pStyle w:val="Heading3"/>
        <w:spacing w:after="199"/>
        <w:ind w:left="120"/>
        <w:jc w:val="left"/>
      </w:pPr>
      <w:r>
        <w:rPr>
          <w:rFonts w:ascii="Times New Roman" w:hAnsi="Times New Roman"/>
          <w:color w:val="000000"/>
          <w:sz w:val="31"/>
        </w:rPr>
        <w:t>AFMC PGI 5315.407-2</w:t>
      </w:r>
      <w:r>
        <w:rPr>
          <w:rFonts w:ascii="Times New Roman" w:hAnsi="Times New Roman"/>
          <w:color w:val="000000"/>
          <w:sz w:val="31"/>
        </w:rPr>
        <w:t xml:space="preserve"> Make-or-Buy Program</w:t>
      </w:r>
    </w:p>
    <w:p>
      <w:pPr>
        <w:pBdr>
          <w:top w:space="5"/>
          <w:left w:space="5"/>
          <w:bottom w:space="5"/>
          <w:right w:space="5"/>
        </w:pBdr>
        <w:spacing w:after="0"/>
        <w:ind w:left="225"/>
        <w:jc w:val="left"/>
      </w:pPr>
      <w:r>
        <w:rPr>
          <w:rFonts w:ascii="Times New Roman" w:hAnsi="Times New Roman"/>
          <w:b w:val="false"/>
          <w:i w:val="false"/>
          <w:color w:val="000000"/>
          <w:sz w:val="22"/>
        </w:rPr>
        <w:t>(d)(1) To implement policy in FAR 15.407-2, the contracting officer may include the following language in the solicitation:</w:t>
      </w:r>
    </w:p>
    <w:p>
      <w:pPr>
        <w:pBdr>
          <w:top w:space="5"/>
          <w:left w:space="5"/>
          <w:bottom w:space="5"/>
          <w:right w:space="5"/>
        </w:pBdr>
        <w:spacing w:after="0"/>
        <w:ind w:left="225"/>
        <w:jc w:val="left"/>
      </w:pPr>
      <w:r>
        <w:rPr>
          <w:rFonts w:ascii="Times New Roman" w:hAnsi="Times New Roman"/>
          <w:b w:val="false"/>
          <w:i/>
          <w:color w:val="000000"/>
          <w:sz w:val="22"/>
        </w:rPr>
        <w:t>The offeror shall submit with the proposal a proposed Make-or-Buy Program to include or be supported by the following information:</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a</w:t>
      </w:r>
      <w:r>
        <w:rPr>
          <w:rFonts w:ascii="Times New Roman" w:hAnsi="Times New Roman"/>
          <w:b w:val="false"/>
          <w:i/>
          <w:color w:val="000000"/>
          <w:sz w:val="22"/>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b</w:t>
      </w:r>
      <w:r>
        <w:rPr>
          <w:rFonts w:ascii="Times New Roman" w:hAnsi="Times New Roman"/>
          <w:b w:val="false"/>
          <w:i/>
          <w:color w:val="000000"/>
          <w:sz w:val="22"/>
        </w:rPr>
        <w:t>) Categorization of each major item or work effort as "must make," "must buy," or "can either make or buy."</w:t>
      </w:r>
    </w:p>
    <w:p>
      <w:pPr>
        <w:pBdr>
          <w:top w:space="5"/>
          <w:left w:space="5"/>
          <w:bottom w:space="5"/>
          <w:right w:space="5"/>
        </w:pBdr>
        <w:spacing w:after="0"/>
        <w:ind w:left="1665"/>
        <w:jc w:val="left"/>
      </w:pPr>
      <w:r>
        <w:rPr>
          <w:rFonts w:ascii="Times New Roman" w:hAnsi="Times New Roman"/>
          <w:b w:val="false"/>
          <w:i/>
          <w:color w:val="000000"/>
          <w:sz w:val="22"/>
        </w:rPr>
        <w:t>(</w:t>
      </w:r>
      <w:r>
        <w:rPr>
          <w:rFonts w:ascii="Times New Roman" w:hAnsi="Times New Roman"/>
          <w:b w:val="false"/>
          <w:i/>
          <w:color w:val="000000"/>
          <w:sz w:val="22"/>
        </w:rPr>
        <w:t>c</w:t>
      </w:r>
      <w:r>
        <w:rPr>
          <w:rFonts w:ascii="Times New Roman" w:hAnsi="Times New Roman"/>
          <w:b w:val="false"/>
          <w:i/>
          <w:color w:val="000000"/>
          <w:sz w:val="22"/>
        </w:rPr>
        <w:t>) For each item or work effort categorized as "can either make or buy," a proposal either to "make" or to "buy."</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1</w:t>
      </w:r>
      <w:r>
        <w:rPr>
          <w:rFonts w:ascii="Times New Roman" w:hAnsi="Times New Roman"/>
          <w:b w:val="false"/>
          <w:i/>
          <w:color w:val="000000"/>
          <w:sz w:val="22"/>
        </w:rPr>
        <w:t>) Proposals for "make" items shall include:</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ii</w:t>
      </w:r>
      <w:r>
        <w:rPr>
          <w:rFonts w:ascii="Times New Roman" w:hAnsi="Times New Roman"/>
          <w:b w:val="false"/>
          <w:i/>
          <w:color w:val="000000"/>
          <w:sz w:val="22"/>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2</w:t>
      </w:r>
      <w:r>
        <w:rPr>
          <w:rFonts w:ascii="Times New Roman" w:hAnsi="Times New Roman"/>
          <w:b w:val="false"/>
          <w:i/>
          <w:color w:val="000000"/>
          <w:sz w:val="22"/>
        </w:rPr>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rPr>
        <w:t>3</w:t>
      </w:r>
      <w:r>
        <w:rPr>
          <w:rFonts w:ascii="Times New Roman" w:hAnsi="Times New Roman"/>
          <w:b w:val="false"/>
          <w:i/>
          <w:color w:val="000000"/>
          <w:sz w:val="22"/>
        </w:rPr>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pPr>
        <w:pBdr>
          <w:top w:space="5"/>
          <w:left w:space="5"/>
          <w:bottom w:space="5"/>
          <w:right w:space="5"/>
        </w:pBdr>
        <w:spacing w:after="0"/>
        <w:ind w:left="2025"/>
        <w:jc w:val="left"/>
      </w:pPr>
      <w:r>
        <w:rPr>
          <w:rFonts w:ascii="Times New Roman" w:hAnsi="Times New Roman"/>
          <w:b w:val="false"/>
          <w:i/>
          <w:color w:val="000000"/>
          <w:sz w:val="22"/>
        </w:rPr>
        <w:t>(4) Reasons for:</w:t>
      </w:r>
    </w:p>
    <w:p>
      <w:pPr>
        <w:pBdr>
          <w:top w:space="5"/>
          <w:left w:space="5"/>
          <w:bottom w:space="5"/>
          <w:right w:space="5"/>
        </w:pBdr>
        <w:spacing w:after="0"/>
        <w:ind w:left="2385"/>
        <w:jc w:val="left"/>
      </w:pPr>
      <w:r>
        <w:rPr>
          <w:rFonts w:ascii="Times New Roman" w:hAnsi="Times New Roman"/>
          <w:b w:val="false"/>
          <w:i/>
          <w:color w:val="000000"/>
          <w:sz w:val="22"/>
        </w:rPr>
        <w:t>(i) categorizing items and work efforts as "must make" or "must buy," and;</w:t>
      </w:r>
    </w:p>
    <w:p>
      <w:pPr>
        <w:pBdr>
          <w:top w:space="5"/>
          <w:left w:space="5"/>
          <w:bottom w:space="5"/>
          <w:right w:space="5"/>
        </w:pBdr>
        <w:spacing w:after="0"/>
        <w:ind w:left="2385"/>
        <w:jc w:val="left"/>
      </w:pPr>
      <w:r>
        <w:rPr>
          <w:rFonts w:ascii="Times New Roman" w:hAnsi="Times New Roman"/>
          <w:b w:val="false"/>
          <w:i/>
          <w:color w:val="000000"/>
          <w:sz w:val="22"/>
        </w:rPr>
        <w:t>(ii) proposing to "make" or to "buy" those categorized as "can either make or buy."</w:t>
      </w:r>
    </w:p>
    <w:p>
      <w:pPr>
        <w:pBdr>
          <w:top w:space="5"/>
          <w:left w:space="5"/>
          <w:bottom w:space="5"/>
          <w:right w:space="5"/>
        </w:pBdr>
        <w:spacing w:after="0"/>
        <w:ind w:left="225"/>
        <w:jc w:val="left"/>
      </w:pPr>
      <w:r>
        <w:rPr>
          <w:rFonts w:ascii="Times New Roman" w:hAnsi="Times New Roman"/>
          <w:b w:val="false"/>
          <w:i/>
          <w:color w:val="000000"/>
          <w:sz w:val="22"/>
        </w:rPr>
        <w:t>The reasons must include the consideration given to the evaluation factors described in the solicitation and be in sufficient detail to permit the Contracting Officer to evaluate the categorization or proposal.</w:t>
      </w:r>
    </w:p>
    <w:p>
      <w:pPr>
        <w:pBdr>
          <w:top w:space="5"/>
          <w:left w:space="5"/>
          <w:bottom w:space="5"/>
          <w:right w:space="5"/>
        </w:pBdr>
        <w:spacing w:after="0"/>
        <w:ind w:left="2025"/>
        <w:jc w:val="left"/>
      </w:pPr>
      <w:r>
        <w:rPr>
          <w:rFonts w:ascii="Times New Roman" w:hAnsi="Times New Roman"/>
          <w:b w:val="false"/>
          <w:i/>
          <w:color w:val="000000"/>
          <w:sz w:val="22"/>
        </w:rPr>
        <w:t>(5) Designation of the plant or division proposed to make each item or perform each work effort and a statement as to whether the existing or proposed new facility is in or near a labor surplus area.</w:t>
      </w:r>
    </w:p>
    <w:p>
      <w:pPr>
        <w:pBdr>
          <w:top w:space="5"/>
          <w:left w:space="5"/>
          <w:bottom w:space="5"/>
          <w:right w:space="5"/>
        </w:pBdr>
        <w:spacing w:after="0"/>
        <w:ind w:left="2025"/>
        <w:jc w:val="left"/>
      </w:pPr>
      <w:r>
        <w:rPr>
          <w:rFonts w:ascii="Times New Roman" w:hAnsi="Times New Roman"/>
          <w:b w:val="false"/>
          <w:i/>
          <w:color w:val="000000"/>
          <w:sz w:val="22"/>
        </w:rPr>
        <w:t>(6) Identification of proposed subcontractors, if known, and their location and size status.</w:t>
      </w:r>
    </w:p>
    <w:p>
      <w:pPr>
        <w:pBdr>
          <w:top w:space="5"/>
          <w:left w:space="5"/>
          <w:bottom w:space="5"/>
          <w:right w:space="5"/>
        </w:pBdr>
        <w:spacing w:after="0"/>
        <w:ind w:left="2025"/>
        <w:jc w:val="left"/>
      </w:pPr>
      <w:r>
        <w:rPr>
          <w:rFonts w:ascii="Times New Roman" w:hAnsi="Times New Roman"/>
          <w:b w:val="false"/>
          <w:i/>
          <w:color w:val="000000"/>
          <w:sz w:val="22"/>
        </w:rPr>
        <w:t>(7) Identification of items on which small business firms may be able to compete for subcontracts.</w:t>
      </w:r>
    </w:p>
    <w:p>
      <w:pPr>
        <w:pBdr>
          <w:top w:space="5"/>
          <w:left w:space="5"/>
          <w:bottom w:space="5"/>
          <w:right w:space="5"/>
        </w:pBdr>
        <w:spacing w:after="0"/>
        <w:ind w:left="2025"/>
        <w:jc w:val="left"/>
      </w:pPr>
      <w:r>
        <w:rPr>
          <w:rFonts w:ascii="Times New Roman" w:hAnsi="Times New Roman"/>
          <w:b w:val="false"/>
          <w:i/>
          <w:color w:val="000000"/>
          <w:sz w:val="22"/>
        </w:rPr>
        <w:t>(8) Any recommendations to defer make-or-buy decisions when categorization of some items or work efforts is impracticable at the time of submission.</w:t>
      </w:r>
    </w:p>
    <w:p>
      <w:pPr>
        <w:pBdr>
          <w:top w:space="5"/>
          <w:left w:space="5"/>
          <w:bottom w:space="5"/>
          <w:right w:space="5"/>
        </w:pBdr>
        <w:spacing w:after="0"/>
        <w:ind w:left="585"/>
        <w:jc w:val="left"/>
      </w:pPr>
      <w:r>
        <w:rPr>
          <w:rFonts w:ascii="Times New Roman" w:hAnsi="Times New Roman"/>
          <w:b w:val="false"/>
          <w:i w:val="false"/>
          <w:color w:val="000000"/>
          <w:sz w:val="22"/>
        </w:rPr>
        <w:t>(2) The following factors should be used in evaluating the proposed program:</w:t>
      </w:r>
    </w:p>
    <w:p>
      <w:pPr>
        <w:pBdr>
          <w:top w:space="5"/>
          <w:left w:space="5"/>
          <w:bottom w:space="5"/>
          <w:right w:space="5"/>
        </w:pBdr>
        <w:spacing w:after="0"/>
        <w:ind w:left="945"/>
        <w:jc w:val="left"/>
      </w:pPr>
      <w:r>
        <w:rPr>
          <w:rFonts w:ascii="Times New Roman" w:hAnsi="Times New Roman"/>
          <w:b w:val="false"/>
          <w:i w:val="false"/>
          <w:color w:val="000000"/>
          <w:sz w:val="22"/>
        </w:rPr>
        <w:t>(i) Capability;</w:t>
      </w:r>
    </w:p>
    <w:p>
      <w:pPr>
        <w:pBdr>
          <w:top w:space="5"/>
          <w:left w:space="5"/>
          <w:bottom w:space="5"/>
          <w:right w:space="5"/>
        </w:pBdr>
        <w:spacing w:after="0"/>
        <w:ind w:left="945"/>
        <w:jc w:val="left"/>
      </w:pPr>
      <w:r>
        <w:rPr>
          <w:rFonts w:ascii="Times New Roman" w:hAnsi="Times New Roman"/>
          <w:b w:val="false"/>
          <w:i w:val="false"/>
          <w:color w:val="000000"/>
          <w:sz w:val="22"/>
        </w:rPr>
        <w:t>(ii) Capacity;</w:t>
      </w:r>
    </w:p>
    <w:p>
      <w:pPr>
        <w:pBdr>
          <w:top w:space="5"/>
          <w:left w:space="5"/>
          <w:bottom w:space="5"/>
          <w:right w:space="5"/>
        </w:pBdr>
        <w:spacing w:after="0"/>
        <w:ind w:left="945"/>
        <w:jc w:val="left"/>
      </w:pPr>
      <w:r>
        <w:rPr>
          <w:rFonts w:ascii="Times New Roman" w:hAnsi="Times New Roman"/>
          <w:b w:val="false"/>
          <w:i w:val="false"/>
          <w:color w:val="000000"/>
          <w:sz w:val="22"/>
        </w:rPr>
        <w:t>(iii) Availability of small business for subcontracting;</w:t>
      </w:r>
    </w:p>
    <w:p>
      <w:pPr>
        <w:pBdr>
          <w:top w:space="5"/>
          <w:left w:space="5"/>
          <w:bottom w:space="5"/>
          <w:right w:space="5"/>
        </w:pBdr>
        <w:spacing w:after="0"/>
        <w:ind w:left="945"/>
        <w:jc w:val="left"/>
      </w:pPr>
      <w:r>
        <w:rPr>
          <w:rFonts w:ascii="Times New Roman" w:hAnsi="Times New Roman"/>
          <w:b w:val="false"/>
          <w:i w:val="false"/>
          <w:color w:val="000000"/>
          <w:sz w:val="22"/>
        </w:rPr>
        <w:t>(iv) Delivery or performance schedules;</w:t>
      </w:r>
    </w:p>
    <w:p>
      <w:pPr>
        <w:pBdr>
          <w:top w:space="5"/>
          <w:left w:space="5"/>
          <w:bottom w:space="5"/>
          <w:right w:space="5"/>
        </w:pBdr>
        <w:spacing w:after="0"/>
        <w:ind w:left="945"/>
        <w:jc w:val="left"/>
      </w:pPr>
      <w:r>
        <w:rPr>
          <w:rFonts w:ascii="Times New Roman" w:hAnsi="Times New Roman"/>
          <w:b w:val="false"/>
          <w:i w:val="false"/>
          <w:color w:val="000000"/>
          <w:sz w:val="22"/>
        </w:rPr>
        <w:t>(v) Control of technical and schedule interfaces;</w:t>
      </w:r>
    </w:p>
    <w:p>
      <w:pPr>
        <w:pBdr>
          <w:top w:space="5"/>
          <w:left w:space="5"/>
          <w:bottom w:space="5"/>
          <w:right w:space="5"/>
        </w:pBdr>
        <w:spacing w:after="0"/>
        <w:ind w:left="945"/>
        <w:jc w:val="left"/>
      </w:pPr>
      <w:r>
        <w:rPr>
          <w:rFonts w:ascii="Times New Roman" w:hAnsi="Times New Roman"/>
          <w:b w:val="false"/>
          <w:i w:val="false"/>
          <w:color w:val="000000"/>
          <w:sz w:val="22"/>
        </w:rPr>
        <w:t>(vi) Proprietary processes;</w:t>
      </w:r>
    </w:p>
    <w:p>
      <w:pPr>
        <w:pBdr>
          <w:top w:space="5"/>
          <w:left w:space="5"/>
          <w:bottom w:space="5"/>
          <w:right w:space="5"/>
        </w:pBdr>
        <w:spacing w:after="0"/>
        <w:ind w:left="945"/>
        <w:jc w:val="left"/>
      </w:pPr>
      <w:r>
        <w:rPr>
          <w:rFonts w:ascii="Times New Roman" w:hAnsi="Times New Roman"/>
          <w:b w:val="false"/>
          <w:i w:val="false"/>
          <w:color w:val="000000"/>
          <w:sz w:val="22"/>
        </w:rPr>
        <w:t>(vii) Technical superiority or exclusiveness;</w:t>
      </w:r>
    </w:p>
    <w:p>
      <w:pPr>
        <w:pBdr>
          <w:top w:space="5"/>
          <w:left w:space="5"/>
          <w:bottom w:space="5"/>
          <w:right w:space="5"/>
        </w:pBdr>
        <w:spacing w:after="0"/>
        <w:ind w:left="945"/>
        <w:jc w:val="left"/>
      </w:pPr>
      <w:r>
        <w:rPr>
          <w:rFonts w:ascii="Times New Roman" w:hAnsi="Times New Roman"/>
          <w:b w:val="false"/>
          <w:i w:val="false"/>
          <w:color w:val="000000"/>
          <w:sz w:val="22"/>
        </w:rPr>
        <w:t>(viii) Technical risk involved; and</w:t>
      </w:r>
    </w:p>
    <w:p>
      <w:pPr>
        <w:pBdr>
          <w:top w:space="5"/>
          <w:left w:space="5"/>
          <w:bottom w:space="5"/>
          <w:right w:space="5"/>
        </w:pBdr>
        <w:spacing w:after="0"/>
        <w:ind w:left="945"/>
        <w:jc w:val="left"/>
      </w:pPr>
      <w:r>
        <w:rPr>
          <w:rFonts w:ascii="Times New Roman" w:hAnsi="Times New Roman"/>
          <w:b w:val="false"/>
          <w:i w:val="false"/>
          <w:color w:val="000000"/>
          <w:sz w:val="22"/>
        </w:rPr>
        <w:t>(ix) Cost/price comparison between “make” and “buy.”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