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**ID__AFFARS_pgi_5315_topic_36__ID**</w:t>
      </w:r>
      <w:r>
        <w:rPr>
          <w:rFonts w:ascii="Times New Roman" w:hAnsi="Times New Roman"/>
          <w:b w:val="false"/>
          <w:i w:val="false"/>
          <w:color w:val="000000"/>
          <w:sz w:val="22"/>
        </w:rPr>
        <w:t xml:space="preserve"> </w:t>
      </w:r>
    </w:p>
    <w:p>
      <w:pPr>
        <w:pStyle w:val="Heading3"/>
        <w:spacing w:after="199"/>
        <w:ind w:left="120"/>
        <w:jc w:val="left"/>
      </w:pPr>
      <w:r>
        <w:rPr>
          <w:rFonts w:ascii="Times New Roman" w:hAnsi="Times New Roman"/>
          <w:color w:val="000000"/>
          <w:sz w:val="31"/>
        </w:rPr>
        <w:t>SMC PGI 5315.3</w:t>
      </w:r>
      <w:r>
        <w:rPr>
          <w:rFonts w:ascii="Times New Roman" w:hAnsi="Times New Roman"/>
          <w:color w:val="000000"/>
          <w:sz w:val="31"/>
        </w:rPr>
        <w:t xml:space="preserve"> (1.4.2.2) PCO Responsibilities</w:t>
      </w:r>
    </w:p>
    <w:p>
      <w:pPr>
        <w:pBdr>
          <w:top w:space="5"/>
          <w:left w:space="5"/>
          <w:bottom w:space="5"/>
          <w:right w:space="5"/>
        </w:pBdr>
        <w:spacing w:after="0"/>
        <w:ind w:left="225"/>
        <w:jc w:val="left"/>
      </w:pPr>
      <w:r>
        <w:rPr>
          <w:rFonts w:ascii="Times New Roman" w:hAnsi="Times New Roman"/>
          <w:b w:val="false"/>
          <w:i w:val="false"/>
          <w:color w:val="000000"/>
          <w:sz w:val="22"/>
        </w:rPr>
        <w:t>(a) Although the SSEB Chair is responsible for the overall management of the SSEB, the PCO has a leadership role and should work with the SSEB to ensure the evaluation is conducted in accordance with the evaluation criteria specified in the solicitation. As the primary business advisor and principal guidance source for the entire source selection, the PCO should be involved in all aspects of the source selection evaluation process, such as SSEB Team training, technical evaluation, assessment and rating reviews, EN review and disposition, and preparation of all evaluation documentation and briefings.</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