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(2.1.2.1) Pre-solicitation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 Request for Information (RFI) is generally used as part of market research to determine industry interest in an anticipated acquisition; to obtain estimated prices, delivery or other market information for planning purposes; and to ensure industry understanding of Government requirements. PCOs should ensure the requirements at FAR 15.209(c) are followed and FAR clause 52.215-3, “Request for Information or Solicitation for Planning Purposes”, is included in the RFI.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Call for Concepts (or Concept Data Call) – a type of RFI in which the Government seeks industry information to understand state-of-the-art technologies and recommendations to formulate initial capability documents and/or identify Government technology gaps and shortfalls. This type of information is usually for new and emerging technologies and will require a Rough Order of Magnitude (ROM) Life Cycle Cost (LCC) estimate with high level schedule milestones for development, initial operational capability (IOC), and long term sustainment.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Sources Sought Synopsis (SSS) – a type of RFI in which the Government posts a summary description of the technical requirement and seeks industry information to understand what sources and capabilities are available. Often a Sources Sought synopsis is followed by an announcement of an Industry Days or may include an announcement for an Industry Days.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Rough Order of Magnitude (ROM) – a type of RFI in which an estimate is provided by industry at the Government’s request and may be used in the early stages of technology development or in a project when the scope and technical requirements have not been fully defined. Requesting a ROM may also be useful to the Government at critical design stages. The main purpose of the ROM estimate is to provide decision-makers with the information necessary to make a decision on whether it makes sense to move forward with the project based on the estimated work effort anticipated, in terms of completion time and cost. A ROM may be useful to project planners in reducing the risk of uncertainty with regard to cost outcomes for both parties when project details have yet to be identified.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