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**ID__AFFARS_SMC_PGI_5315_3D__ID**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(2.1.2.1) Pre-solicitation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 Request for Information (RFI) is generally used as part of market research to determine industry interest in an anticipated acquisition; to obtain estimated prices, delivery or other market information for planning purposes; and to ensure industry understanding of Government requirements. PCOs should ensure the requirements at FAR 15.209(c) are followed and FAR clause 52.215-3, “Request for Information or Solicitation for Planning Purposes”, is included in the RFI.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Call for Concepts (or Concept Data Call) – a type of RFI in which the Government seeks industry information to understand state-of-the-art technologies and recommendations to formulate initial capability documents and/or identify Government technology gaps and shortfalls. This type of information is usually for new and emerging technologies and will require a Rough Order of Magnitude (ROM) Life Cycle Cost (LCC) estimate with high level schedule milestones for development, initial operational capability (IOC), and long term sustainment.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Sources Sought Synopsis (SSS) – a type of RFI in which the Government posts a summary description of the technical requirement and seeks industry information to understand what sources and capabilities are available. Often a Sources Sought synopsis is followed by an announcement of an Industry Days or may include an announcement for an Industry Days.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Rough Order of Magnitude (ROM) – a type of RFI in which an estimate is provided by industry at the Government’s request and may be used in the early stages of technology development or in a project when the scope and technical requirements have not been fully defined. Requesting a ROM may also be useful to the Government at critical design stages. The main purpose of the ROM estimate is to provide decision-makers with the information necessary to make a decision on whether it makes sense to move forward with the project based on the estimated work effort anticipated, in terms of completion time and cost. A ROM may be useful to project planners in reducing the risk of uncertainty with regard to cost outcomes for both parties when project details have yet to be identified.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