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**ID__AFFARS_pgi_5316_topic_4__ID**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5316.104</w:t>
      </w:r>
      <w:r>
        <w:rPr>
          <w:rFonts w:ascii="Times New Roman" w:hAnsi="Times New Roman"/>
          <w:color w:val="000000"/>
          <w:sz w:val="31"/>
        </w:rPr>
        <w:t xml:space="preserve"> Factors In Selecting Contract Type</w:t>
      </w:r>
    </w:p>
    <w:p>
      <w:pPr>
        <w:pBdr>
          <w:top w:space="5"/>
          <w:left w:space="5"/>
          <w:bottom w:space="5"/>
          <w:right w:space="5"/>
        </w:pBdr>
        <w:spacing w:after="0"/>
        <w:ind w:left="225"/>
        <w:jc w:val="left"/>
      </w:pPr>
      <w:r>
        <w:rPr>
          <w:rFonts w:ascii="Times New Roman" w:hAnsi="Times New Roman"/>
          <w:b w:val="false"/>
          <w:i w:val="false"/>
          <w:color w:val="000000"/>
          <w:sz w:val="22"/>
        </w:rPr>
        <w:t xml:space="preserve">Refer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OUSD/DPAP Contract Pricing Reference Guides (CPRG)</w:t>
        </w:r>
      </w:hyperlink>
      <w:r>
        <w:rPr>
          <w:rFonts w:ascii="Times New Roman" w:hAnsi="Times New Roman"/>
          <w:b w:val="false"/>
          <w:i w:val="false"/>
          <w:color w:val="000000"/>
          <w:sz w:val="22"/>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mil/tools/p/cprg"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