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Acquisition teams are encouraged to utilize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Guiding Principles for Fair Opportunity Selection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These guiding principles help acquisition teams understand the difference between FAR 16.505 fair opportunity competitions and FAR 15.3 source selections and to provide possible fair opportunity competition ordering strategies.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mc_guiding_principles_for_fair_opportunity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