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**ID__AFFARS_AF_PGI_5317_7402_90__ID**</w:t>
      </w:r>
    </w:p>
    <w:p>
      <w:pPr>
        <w:pStyle w:val="Heading3"/>
        <w:spacing w:after="199"/>
        <w:ind w:left="120"/>
        <w:jc w:val="left"/>
      </w:pPr>
      <w:r>
        <w:rPr>
          <w:rFonts w:ascii="Times New Roman" w:hAnsi="Times New Roman"/>
          <w:color w:val="000000"/>
          <w:sz w:val="31"/>
        </w:rPr>
        <w:t>AF PGI 5317.7402-90</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217.74.)</w:t>
      </w:r>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Bdr>
          <w:top w:space="5"/>
          <w:left w:space="5"/>
          <w:bottom w:space="5"/>
          <w:right w:space="5"/>
        </w:pBdr>
        <w:spacing w:after="0"/>
        <w:ind w:left="585"/>
        <w:jc w:val="left"/>
      </w:pPr>
      <w:r>
        <w:rPr>
          <w:rFonts w:ascii="Times New Roman" w:hAnsi="Times New Roman"/>
          <w:b w:val="false"/>
          <w:i w:val="false"/>
          <w:color w:val="000000"/>
          <w:sz w:val="22"/>
        </w:rPr>
        <w:t>(1) A definitive contract is preferred. When it is possible to award a definitive contract using advance procurement funds, the contracting officer follows normal contracting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2326</w:t>
        </w:r>
      </w:hyperlink>
      <w:r>
        <w:rPr>
          <w:rFonts w:ascii="Times New Roman" w:hAnsi="Times New Roman"/>
          <w:b w:val="false"/>
          <w:i w:val="false"/>
          <w:color w:val="000000"/>
          <w:sz w:val="22"/>
        </w:rPr>
        <w:t xml:space="preserve"> (see DFARS 217.74).</w:t>
      </w:r>
    </w:p>
    <w:p>
      <w:pPr>
        <w:pBdr>
          <w:top w:space="5"/>
          <w:left w:space="5"/>
          <w:bottom w:space="5"/>
          <w:right w:space="5"/>
        </w:pBdr>
        <w:spacing w:after="0"/>
        <w:ind w:left="585"/>
        <w:jc w:val="left"/>
      </w:pPr>
      <w:r>
        <w:rPr>
          <w:rFonts w:ascii="Times New Roman" w:hAnsi="Times New Roman"/>
          <w:b w:val="false"/>
          <w:i w:val="false"/>
          <w:color w:val="000000"/>
          <w:sz w:val="22"/>
        </w:rP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rFonts w:ascii="Times New Roman" w:hAnsi="Times New Roman"/>
          <w:b w:val="false"/>
          <w:i/>
          <w:color w:val="000000"/>
          <w:sz w:val="22"/>
        </w:rPr>
        <w:t>. If procurement funds are added to the contract effort prior to definitization,</w:t>
      </w:r>
      <w:r>
        <w:rPr>
          <w:rFonts w:ascii="Times New Roman" w:hAnsi="Times New Roman"/>
          <w:b w:val="false"/>
          <w:i w:val="false"/>
          <w:color w:val="000000"/>
          <w:sz w:val="22"/>
        </w:rPr>
        <w:t xml:space="preserve"> the long-lead effort is then treated as a part of the production effort and is subject to all the procedures and reporting requirements governing UCAs covered in DFARS 217.74.</w:t>
      </w:r>
    </w:p>
    <w:p>
      <w:pPr>
        <w:pBdr>
          <w:top w:space="5"/>
          <w:left w:space="5"/>
          <w:bottom w:space="5"/>
          <w:right w:space="5"/>
        </w:pBdr>
        <w:spacing w:after="0"/>
        <w:ind w:left="225"/>
        <w:jc w:val="left"/>
      </w:pPr>
      <w:r>
        <w:rPr>
          <w:rFonts w:ascii="Times New Roman" w:hAnsi="Times New Roman"/>
          <w:b w:val="false"/>
          <w:i w:val="false"/>
          <w:color w:val="000000"/>
          <w:sz w:val="22"/>
        </w:rPr>
        <w:t>(c) How Best to Acquire Long-Lead Items:</w:t>
      </w:r>
    </w:p>
    <w:p>
      <w:pPr>
        <w:pBdr>
          <w:top w:space="5"/>
          <w:left w:space="5"/>
          <w:bottom w:space="5"/>
          <w:right w:space="5"/>
        </w:pBdr>
        <w:spacing w:after="0"/>
        <w:ind w:left="585"/>
        <w:jc w:val="left"/>
      </w:pPr>
      <w:r>
        <w:rPr>
          <w:rFonts w:ascii="Times New Roman" w:hAnsi="Times New Roman"/>
          <w:b w:val="false"/>
          <w:i w:val="false"/>
          <w:color w:val="000000"/>
          <w:sz w:val="22"/>
        </w:rPr>
        <w:t>(1) Pre-award Steps:</w:t>
      </w:r>
    </w:p>
    <w:p>
      <w:pPr>
        <w:pBdr>
          <w:top w:space="5"/>
          <w:left w:space="5"/>
          <w:bottom w:space="5"/>
          <w:right w:space="5"/>
        </w:pBdr>
        <w:spacing w:after="0"/>
        <w:ind w:left="945"/>
        <w:jc w:val="left"/>
      </w:pPr>
      <w:r>
        <w:rPr>
          <w:rFonts w:ascii="Times New Roman" w:hAnsi="Times New Roman"/>
          <w:b w:val="false"/>
          <w:i w:val="false"/>
          <w:color w:val="000000"/>
          <w:sz w:val="22"/>
        </w:rPr>
        <w:t>(i) Obtain a Not-to-Exceed (NTE) proposal and reach agreement on an NTE amount for the long-lead effort;</w:t>
      </w:r>
    </w:p>
    <w:p>
      <w:pPr>
        <w:pBdr>
          <w:top w:space="5"/>
          <w:left w:space="5"/>
          <w:bottom w:space="5"/>
          <w:right w:space="5"/>
        </w:pBdr>
        <w:spacing w:after="0"/>
        <w:ind w:left="945"/>
        <w:jc w:val="left"/>
      </w:pPr>
      <w:r>
        <w:rPr>
          <w:rFonts w:ascii="Times New Roman" w:hAnsi="Times New Roman"/>
          <w:b w:val="false"/>
          <w:i w:val="false"/>
          <w:color w:val="000000"/>
          <w:sz w:val="22"/>
        </w:rPr>
        <w:t>(ii) If feasible, obtain an NTE for the total contract effort, or as a minimum, obtain a Rough Order of Magnitude (ROM) estimate;</w:t>
      </w:r>
    </w:p>
    <w:p>
      <w:pPr>
        <w:pBdr>
          <w:top w:space="5"/>
          <w:left w:space="5"/>
          <w:bottom w:space="5"/>
          <w:right w:space="5"/>
        </w:pBdr>
        <w:spacing w:after="0"/>
        <w:ind w:left="945"/>
        <w:jc w:val="left"/>
      </w:pPr>
      <w:r>
        <w:rPr>
          <w:rFonts w:ascii="Times New Roman" w:hAnsi="Times New Roman"/>
          <w:b w:val="false"/>
          <w:i w:val="false"/>
          <w:color w:val="000000"/>
          <w:sz w:val="22"/>
        </w:rPr>
        <w:t>(iii) Obtain a listing of the long-lead items from the contractor;</w:t>
      </w:r>
    </w:p>
    <w:p>
      <w:pPr>
        <w:pBdr>
          <w:top w:space="5"/>
          <w:left w:space="5"/>
          <w:bottom w:space="5"/>
          <w:right w:space="5"/>
        </w:pBdr>
        <w:spacing w:after="0"/>
        <w:ind w:left="945"/>
        <w:jc w:val="left"/>
      </w:pPr>
      <w:r>
        <w:rPr>
          <w:rFonts w:ascii="Times New Roman" w:hAnsi="Times New Roman"/>
          <w:b w:val="false"/>
          <w:i w:val="false"/>
          <w:color w:val="000000"/>
          <w:sz w:val="22"/>
        </w:rPr>
        <w:t>(iv) Obtain a written technical evaluation for the long-lead items that focuses on the need for the items to protect end item delivery schedules. This evaluation should be included in the contract file; and</w:t>
      </w:r>
    </w:p>
    <w:p>
      <w:pPr>
        <w:pBdr>
          <w:top w:space="5"/>
          <w:left w:space="5"/>
          <w:bottom w:space="5"/>
          <w:right w:space="5"/>
        </w:pBdr>
        <w:spacing w:after="0"/>
        <w:ind w:left="945"/>
        <w:jc w:val="left"/>
      </w:pPr>
      <w:r>
        <w:rPr>
          <w:rFonts w:ascii="Times New Roman" w:hAnsi="Times New Roman"/>
          <w:b w:val="false"/>
          <w:i w:val="false"/>
          <w:color w:val="000000"/>
          <w:sz w:val="22"/>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Components of the Undefinitized Long-Lead Contract:</w:t>
      </w:r>
    </w:p>
    <w:p>
      <w:pPr>
        <w:pBdr>
          <w:top w:space="5"/>
          <w:left w:space="5"/>
          <w:bottom w:space="5"/>
          <w:right w:space="5"/>
        </w:pBdr>
        <w:spacing w:after="0"/>
        <w:ind w:left="945"/>
        <w:jc w:val="left"/>
      </w:pPr>
      <w:r>
        <w:rPr>
          <w:rFonts w:ascii="Times New Roman" w:hAnsi="Times New Roman"/>
          <w:b w:val="false"/>
          <w:i w:val="false"/>
          <w:color w:val="000000"/>
          <w:sz w:val="22"/>
        </w:rPr>
        <w:t>(i) The undefinitized long-lead contract should include:</w:t>
      </w:r>
    </w:p>
    <w:p>
      <w:pPr>
        <w:pBdr>
          <w:top w:space="5"/>
          <w:left w:space="5"/>
          <w:bottom w:space="5"/>
          <w:right w:space="5"/>
        </w:pBdr>
        <w:spacing w:after="0"/>
        <w:ind w:left="1305"/>
        <w:jc w:val="left"/>
      </w:pPr>
      <w:r>
        <w:rPr>
          <w:rFonts w:ascii="Times New Roman" w:hAnsi="Times New Roman"/>
          <w:b w:val="false"/>
          <w:i w:val="false"/>
          <w:color w:val="000000"/>
          <w:sz w:val="22"/>
        </w:rPr>
        <w:t>(A) An NTE for the long-lead effort;</w:t>
      </w:r>
    </w:p>
    <w:p>
      <w:pPr>
        <w:pBdr>
          <w:top w:space="5"/>
          <w:left w:space="5"/>
          <w:bottom w:space="5"/>
          <w:right w:space="5"/>
        </w:pBdr>
        <w:spacing w:after="0"/>
        <w:ind w:left="1305"/>
        <w:jc w:val="left"/>
      </w:pPr>
      <w:r>
        <w:rPr>
          <w:rFonts w:ascii="Times New Roman" w:hAnsi="Times New Roman"/>
          <w:b w:val="false"/>
          <w:i w:val="false"/>
          <w:color w:val="000000"/>
          <w:sz w:val="22"/>
        </w:rPr>
        <w:t>(B) Specifications, statement of work, and/or other technical description of the end items being acquired;</w:t>
      </w:r>
    </w:p>
    <w:p>
      <w:pPr>
        <w:pBdr>
          <w:top w:space="5"/>
          <w:left w:space="5"/>
          <w:bottom w:space="5"/>
          <w:right w:space="5"/>
        </w:pBdr>
        <w:spacing w:after="0"/>
        <w:ind w:left="1305"/>
        <w:jc w:val="left"/>
      </w:pPr>
      <w:r>
        <w:rPr>
          <w:rFonts w:ascii="Times New Roman" w:hAnsi="Times New Roman"/>
          <w:b w:val="false"/>
          <w:i w:val="false"/>
          <w:color w:val="000000"/>
          <w:sz w:val="22"/>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Bdr>
          <w:top w:space="5"/>
          <w:left w:space="5"/>
          <w:bottom w:space="5"/>
          <w:right w:space="5"/>
        </w:pBdr>
        <w:spacing w:after="0"/>
        <w:ind w:left="1305"/>
        <w:jc w:val="left"/>
      </w:pPr>
      <w:r>
        <w:rPr>
          <w:rFonts w:ascii="Times New Roman" w:hAnsi="Times New Roman"/>
          <w:b w:val="false"/>
          <w:i w:val="false"/>
          <w:color w:val="000000"/>
          <w:sz w:val="22"/>
        </w:rPr>
        <w:t>(D) A schedule for delivery of the production end items in Section F of the Schedule;</w:t>
      </w:r>
    </w:p>
    <w:p>
      <w:pPr>
        <w:pBdr>
          <w:top w:space="5"/>
          <w:left w:space="5"/>
          <w:bottom w:space="5"/>
          <w:right w:space="5"/>
        </w:pBdr>
        <w:spacing w:after="0"/>
        <w:ind w:left="1305"/>
        <w:jc w:val="left"/>
      </w:pPr>
      <w:r>
        <w:rPr>
          <w:rFonts w:ascii="Times New Roman" w:hAnsi="Times New Roman"/>
          <w:b w:val="false"/>
          <w:i w:val="false"/>
          <w:color w:val="000000"/>
          <w:sz w:val="22"/>
        </w:rPr>
        <w:t>(E) A requirement for periodic financial status reports which track actual expenditures to planned expenditures; and</w:t>
      </w:r>
    </w:p>
    <w:p>
      <w:pPr>
        <w:pBdr>
          <w:top w:space="5"/>
          <w:left w:space="5"/>
          <w:bottom w:space="5"/>
          <w:right w:space="5"/>
        </w:pBdr>
        <w:spacing w:after="0"/>
        <w:ind w:left="1305"/>
        <w:jc w:val="left"/>
      </w:pPr>
      <w:r>
        <w:rPr>
          <w:rFonts w:ascii="Times New Roman" w:hAnsi="Times New Roman"/>
          <w:b w:val="false"/>
          <w:i w:val="false"/>
          <w:color w:val="000000"/>
          <w:sz w:val="22"/>
        </w:rPr>
        <w:t>(F) A special contract requirement (Section H) clause that addresses the subsumption of the long-lead effort into the production contract line items (CLIN). The clause should, as a minimum:</w:t>
      </w:r>
    </w:p>
    <w:p>
      <w:pPr>
        <w:pBdr>
          <w:top w:space="5"/>
          <w:left w:space="5"/>
          <w:bottom w:space="5"/>
          <w:right w:space="5"/>
        </w:pBdr>
        <w:spacing w:after="0"/>
        <w:ind w:left="2025"/>
        <w:jc w:val="left"/>
      </w:pPr>
      <w:r>
        <w:rPr>
          <w:rFonts w:ascii="Times New Roman" w:hAnsi="Times New Roman"/>
          <w:b w:val="false"/>
          <w:i/>
          <w:color w:val="000000"/>
          <w:sz w:val="22"/>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w:t>
      </w:r>
      <w:r>
        <w:rPr>
          <w:rFonts w:ascii="Times New Roman" w:hAnsi="Times New Roman"/>
          <w:b w:val="false"/>
          <w:i w:val="false"/>
          <w:color w:val="000000"/>
          <w:sz w:val="22"/>
        </w:rPr>
        <w:t xml:space="preserve"> </w:t>
      </w:r>
      <w:r>
        <w:rPr>
          <w:rFonts w:ascii="Times New Roman" w:hAnsi="Times New Roman"/>
          <w:b w:val="false"/>
          <w:i/>
          <w:color w:val="000000"/>
          <w:sz w:val="22"/>
        </w:rPr>
        <w:t>are</w:t>
      </w:r>
      <w:r>
        <w:rPr>
          <w:rFonts w:ascii="Times New Roman" w:hAnsi="Times New Roman"/>
          <w:b w:val="false"/>
          <w:i w:val="false"/>
          <w:color w:val="000000"/>
          <w:sz w:val="22"/>
        </w:rPr>
        <w:t xml:space="preserve"> </w:t>
      </w:r>
      <w:r>
        <w:rPr>
          <w:rFonts w:ascii="Times New Roman" w:hAnsi="Times New Roman"/>
          <w:b w:val="false"/>
          <w:i/>
          <w:color w:val="000000"/>
          <w:sz w:val="22"/>
        </w:rPr>
        <w:t>presumed to have been done under the production CLINs or SubCLINs; and</w:t>
      </w:r>
    </w:p>
    <w:p>
      <w:pPr>
        <w:pBdr>
          <w:top w:space="5"/>
          <w:left w:space="5"/>
          <w:bottom w:space="5"/>
          <w:right w:space="5"/>
        </w:pBdr>
        <w:spacing w:after="0"/>
        <w:ind w:left="2025"/>
        <w:jc w:val="left"/>
      </w:pPr>
      <w:r>
        <w:rPr>
          <w:rFonts w:ascii="Times New Roman" w:hAnsi="Times New Roman"/>
          <w:b w:val="false"/>
          <w:i/>
          <w:color w:val="000000"/>
          <w:sz w:val="22"/>
        </w:rPr>
        <w:t>(2) Identify the CLINs or SubCLINs that will be affected.</w:t>
      </w:r>
    </w:p>
    <w:p>
      <w:pPr>
        <w:pBdr>
          <w:top w:space="5"/>
          <w:left w:space="5"/>
          <w:bottom w:space="5"/>
          <w:right w:space="5"/>
        </w:pBdr>
        <w:spacing w:after="0"/>
        <w:ind w:left="945"/>
        <w:jc w:val="left"/>
      </w:pPr>
      <w:r>
        <w:rPr>
          <w:rFonts w:ascii="Times New Roman" w:hAnsi="Times New Roman"/>
          <w:b w:val="false"/>
          <w:i w:val="false"/>
          <w:color w:val="000000"/>
          <w:sz w:val="22"/>
        </w:rPr>
        <w:t>(ii) A special contract requirement (Section H) clause that addresses the unique requirements of the long-lead effort should be included and should at a minimum:</w:t>
      </w:r>
    </w:p>
    <w:p>
      <w:pPr>
        <w:pBdr>
          <w:top w:space="5"/>
          <w:left w:space="5"/>
          <w:bottom w:space="5"/>
          <w:right w:space="5"/>
        </w:pBdr>
        <w:spacing w:after="0"/>
        <w:ind w:left="1305"/>
        <w:jc w:val="left"/>
      </w:pPr>
      <w:r>
        <w:rPr>
          <w:rFonts w:ascii="Times New Roman" w:hAnsi="Times New Roman"/>
          <w:b w:val="false"/>
          <w:i w:val="false"/>
          <w:color w:val="000000"/>
          <w:sz w:val="22"/>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Bdr>
          <w:top w:space="5"/>
          <w:left w:space="5"/>
          <w:bottom w:space="5"/>
          <w:right w:space="5"/>
        </w:pBdr>
        <w:spacing w:after="0"/>
        <w:ind w:left="1305"/>
        <w:jc w:val="left"/>
      </w:pPr>
      <w:r>
        <w:rPr>
          <w:rFonts w:ascii="Times New Roman" w:hAnsi="Times New Roman"/>
          <w:b w:val="false"/>
          <w:i w:val="false"/>
          <w:color w:val="000000"/>
          <w:sz w:val="22"/>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Bdr>
          <w:top w:space="5"/>
          <w:left w:space="5"/>
          <w:bottom w:space="5"/>
          <w:right w:space="5"/>
        </w:pBdr>
        <w:spacing w:after="0"/>
        <w:ind w:left="945"/>
        <w:jc w:val="left"/>
      </w:pPr>
      <w:r>
        <w:rPr>
          <w:rFonts w:ascii="Times New Roman" w:hAnsi="Times New Roman"/>
          <w:b w:val="false"/>
          <w:i w:val="false"/>
          <w:color w:val="000000"/>
          <w:sz w:val="22"/>
        </w:rP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Bdr>
          <w:top w:space="5"/>
          <w:left w:space="5"/>
          <w:bottom w:space="5"/>
          <w:right w:space="5"/>
        </w:pBdr>
        <w:spacing w:after="0"/>
        <w:ind w:left="1305"/>
        <w:jc w:val="left"/>
      </w:pPr>
      <w:r>
        <w:rPr>
          <w:rFonts w:ascii="Times New Roman" w:hAnsi="Times New Roman"/>
          <w:b w:val="false"/>
          <w:i w:val="false"/>
          <w:color w:val="000000"/>
          <w:sz w:val="22"/>
        </w:rPr>
        <w:t>(A)Require submittal of an NTE proposal or definitive price proposal adequate for negotiations to complete definitization within the specified time period, and identify this submission as a material requirement of the contract; and</w:t>
      </w:r>
    </w:p>
    <w:p>
      <w:pPr>
        <w:pBdr>
          <w:top w:space="5"/>
          <w:left w:space="5"/>
          <w:bottom w:space="5"/>
          <w:right w:space="5"/>
        </w:pBdr>
        <w:spacing w:after="0"/>
        <w:ind w:left="1305"/>
        <w:jc w:val="left"/>
      </w:pPr>
      <w:r>
        <w:rPr>
          <w:rFonts w:ascii="Times New Roman" w:hAnsi="Times New Roman"/>
          <w:b w:val="false"/>
          <w:i w:val="false"/>
          <w:color w:val="000000"/>
          <w:sz w:val="22"/>
        </w:rP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Bdr>
          <w:top w:space="5"/>
          <w:left w:space="5"/>
          <w:bottom w:space="5"/>
          <w:right w:space="5"/>
        </w:pBdr>
        <w:spacing w:after="0"/>
        <w:ind w:left="945"/>
        <w:jc w:val="left"/>
      </w:pPr>
      <w:r>
        <w:rPr>
          <w:rFonts w:ascii="Times New Roman" w:hAnsi="Times New Roman"/>
          <w:b w:val="false"/>
          <w:i w:val="false"/>
          <w:color w:val="000000"/>
          <w:sz w:val="22"/>
        </w:rPr>
        <w:t>(iv) A special contract requirement (Section H) clause that addresses the process for definitizing the long-lead contract. The clause should, as a minimum:</w:t>
      </w:r>
    </w:p>
    <w:p>
      <w:pPr>
        <w:pBdr>
          <w:top w:space="5"/>
          <w:left w:space="5"/>
          <w:bottom w:space="5"/>
          <w:right w:space="5"/>
        </w:pBdr>
        <w:spacing w:after="0"/>
        <w:ind w:left="1305"/>
        <w:jc w:val="left"/>
      </w:pPr>
      <w:r>
        <w:rPr>
          <w:rFonts w:ascii="Times New Roman" w:hAnsi="Times New Roman"/>
          <w:b w:val="false"/>
          <w:i w:val="false"/>
          <w:color w:val="000000"/>
          <w:sz w:val="22"/>
        </w:rPr>
        <w:t>(A) State that a definitive contract is intended, and to the maximum extent practicable, a definitive contract will be negotiated prior to the receipt of full production program release;</w:t>
      </w:r>
    </w:p>
    <w:p>
      <w:pPr>
        <w:pBdr>
          <w:top w:space="5"/>
          <w:left w:space="5"/>
          <w:bottom w:space="5"/>
          <w:right w:space="5"/>
        </w:pBdr>
        <w:spacing w:after="0"/>
        <w:ind w:left="1305"/>
        <w:jc w:val="left"/>
      </w:pPr>
      <w:r>
        <w:rPr>
          <w:rFonts w:ascii="Times New Roman" w:hAnsi="Times New Roman"/>
          <w:b w:val="false"/>
          <w:i w:val="false"/>
          <w:color w:val="000000"/>
          <w:sz w:val="22"/>
        </w:rPr>
        <w:t>(B) Include an agreed upon schedule for definitizing the total contract effort that addresses, as a minimum, target dates for submission of proposal, negotiations completion, and definitization; and</w:t>
      </w:r>
    </w:p>
    <w:p>
      <w:pPr>
        <w:pBdr>
          <w:top w:space="5"/>
          <w:left w:space="5"/>
          <w:bottom w:space="5"/>
          <w:right w:space="5"/>
        </w:pBdr>
        <w:spacing w:after="0"/>
        <w:ind w:left="1305"/>
        <w:jc w:val="left"/>
      </w:pPr>
      <w:r>
        <w:rPr>
          <w:rFonts w:ascii="Times New Roman" w:hAnsi="Times New Roman"/>
          <w:b w:val="false"/>
          <w:i w:val="false"/>
          <w:color w:val="000000"/>
          <w:sz w:val="22"/>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Bdr>
          <w:top w:space="5"/>
          <w:left w:space="5"/>
          <w:bottom w:space="5"/>
          <w:right w:space="5"/>
        </w:pBdr>
        <w:spacing w:after="0"/>
        <w:ind w:left="585"/>
        <w:jc w:val="left"/>
      </w:pPr>
      <w:r>
        <w:rPr>
          <w:rFonts w:ascii="Times New Roman" w:hAnsi="Times New Roman"/>
          <w:b w:val="false"/>
          <w:i w:val="false"/>
          <w:color w:val="000000"/>
          <w:sz w:val="22"/>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Bdr>
          <w:top w:space="5"/>
          <w:left w:space="5"/>
          <w:bottom w:space="5"/>
          <w:right w:space="5"/>
        </w:pBdr>
        <w:spacing w:after="0"/>
        <w:ind w:left="945"/>
        <w:jc w:val="left"/>
      </w:pPr>
      <w:r>
        <w:rPr>
          <w:rFonts w:ascii="Times New Roman" w:hAnsi="Times New Roman"/>
          <w:b w:val="false"/>
          <w:i w:val="false"/>
          <w:color w:val="000000"/>
          <w:sz w:val="22"/>
        </w:rPr>
        <w:t>(i) Obtain the approval of the original approval authority for the undefinitized long-lead contract. The request for approval should include:</w:t>
      </w:r>
    </w:p>
    <w:p>
      <w:pPr>
        <w:pBdr>
          <w:top w:space="5"/>
          <w:left w:space="5"/>
          <w:bottom w:space="5"/>
          <w:right w:space="5"/>
        </w:pBdr>
        <w:spacing w:after="0"/>
        <w:ind w:left="1305"/>
        <w:jc w:val="left"/>
      </w:pPr>
      <w:r>
        <w:rPr>
          <w:rFonts w:ascii="Times New Roman" w:hAnsi="Times New Roman"/>
          <w:b w:val="false"/>
          <w:i w:val="false"/>
          <w:color w:val="000000"/>
          <w:sz w:val="22"/>
        </w:rPr>
        <w:t>(A) A written justification that addresses the need, the impact if not granted, and why contract definitization cannot be completed within the time specified; and</w:t>
      </w:r>
    </w:p>
    <w:p>
      <w:pPr>
        <w:pBdr>
          <w:top w:space="5"/>
          <w:left w:space="5"/>
          <w:bottom w:space="5"/>
          <w:right w:space="5"/>
        </w:pBdr>
        <w:spacing w:after="0"/>
        <w:ind w:left="1305"/>
        <w:jc w:val="left"/>
      </w:pPr>
      <w:r>
        <w:rPr>
          <w:rFonts w:ascii="Times New Roman" w:hAnsi="Times New Roman"/>
          <w:b w:val="false"/>
          <w:i w:val="false"/>
          <w:color w:val="000000"/>
          <w:sz w:val="22"/>
        </w:rPr>
        <w:t>(B) A revised contract definitization schedule which has been agreed to by the contractor;</w:t>
      </w:r>
    </w:p>
    <w:p>
      <w:pPr>
        <w:pBdr>
          <w:top w:space="5"/>
          <w:left w:space="5"/>
          <w:bottom w:space="5"/>
          <w:right w:space="5"/>
        </w:pBdr>
        <w:spacing w:after="0"/>
        <w:ind w:left="945"/>
        <w:jc w:val="left"/>
      </w:pPr>
      <w:r>
        <w:rPr>
          <w:rFonts w:ascii="Times New Roman" w:hAnsi="Times New Roman"/>
          <w:b w:val="false"/>
          <w:i w:val="false"/>
          <w:color w:val="000000"/>
          <w:sz w:val="22"/>
        </w:rPr>
        <w:t>(ii) Obtain a NTE proposal for the total contract effort and evaluate for reasonableness. After reaching agreement on the NTE, the contracting officer will incorporate it into the contract;</w:t>
      </w:r>
    </w:p>
    <w:p>
      <w:pPr>
        <w:pBdr>
          <w:top w:space="5"/>
          <w:left w:space="5"/>
          <w:bottom w:space="5"/>
          <w:right w:space="5"/>
        </w:pBdr>
        <w:spacing w:after="0"/>
        <w:ind w:left="945"/>
        <w:jc w:val="left"/>
      </w:pPr>
      <w:r>
        <w:rPr>
          <w:rFonts w:ascii="Times New Roman" w:hAnsi="Times New Roman"/>
          <w:b w:val="false"/>
          <w:i w:val="false"/>
          <w:color w:val="000000"/>
          <w:sz w:val="22"/>
        </w:rPr>
        <w:t>(iii) Evaluate the contractor’s revised termination liability estimate, and</w:t>
      </w:r>
    </w:p>
    <w:p>
      <w:pPr>
        <w:pBdr>
          <w:top w:space="5"/>
          <w:left w:space="5"/>
          <w:bottom w:space="5"/>
          <w:right w:space="5"/>
        </w:pBdr>
        <w:spacing w:after="0"/>
        <w:ind w:left="945"/>
        <w:jc w:val="left"/>
      </w:pPr>
      <w:r>
        <w:rPr>
          <w:rFonts w:ascii="Times New Roman" w:hAnsi="Times New Roman"/>
          <w:b w:val="false"/>
          <w:i w:val="false"/>
          <w:color w:val="000000"/>
          <w:sz w:val="22"/>
        </w:rPr>
        <w:t>(iv) Comply with all UCA requirements contained in DFARS 217.74. Previously obligated advance procurement funds will be combined with the procurement funds in establishing UCA obligation limitations. The 180-day definitization schedule begins when the procurement funds are obligated on the undefinitized long-lead contract.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4.law.cornell.edu/uscode/10/2326.htm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