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**ID__AFFARS_AF_PGI_5319_201__ID**</w:t>
      </w:r>
    </w:p>
    <w:p>
      <w:pPr>
        <w:pStyle w:val="Heading3"/>
        <w:spacing w:after="199"/>
        <w:ind w:left="120"/>
        <w:jc w:val="left"/>
      </w:pPr>
      <w:r>
        <w:rPr>
          <w:rFonts w:ascii="Times New Roman" w:hAnsi="Times New Roman"/>
          <w:color w:val="000000"/>
          <w:sz w:val="31"/>
        </w:rPr>
        <w:t>5319.201</w:t>
      </w:r>
      <w:r>
        <w:rPr>
          <w:rFonts w:ascii="Times New Roman" w:hAnsi="Times New Roman"/>
          <w:color w:val="000000"/>
          <w:sz w:val="31"/>
        </w:rPr>
        <w:t xml:space="preserve"> General Policy</w:t>
      </w:r>
    </w:p>
    <w:p>
      <w:pPr>
        <w:pBdr>
          <w:top w:space="5"/>
          <w:left w:space="5"/>
          <w:bottom w:space="5"/>
          <w:right w:space="5"/>
        </w:pBdr>
        <w:spacing w:after="0"/>
        <w:ind w:left="225"/>
        <w:jc w:val="left"/>
      </w:pPr>
      <w:r>
        <w:rPr>
          <w:rFonts w:ascii="Times New Roman" w:hAnsi="Times New Roman"/>
          <w:b w:val="false"/>
          <w:i w:val="false"/>
          <w:color w:val="000000"/>
          <w:sz w:val="22"/>
        </w:rPr>
        <w:t>(c)(10)(B)(90) The Small Business Professional’s (SBP) review of acquisitions includes task and delivery orders.</w:t>
      </w:r>
    </w:p>
    <w:p>
      <w:pPr>
        <w:pBdr>
          <w:top w:space="5"/>
          <w:left w:space="5"/>
          <w:bottom w:space="5"/>
          <w:right w:space="5"/>
        </w:pBdr>
        <w:spacing w:after="0"/>
        <w:ind w:left="585"/>
        <w:jc w:val="left"/>
      </w:pPr>
      <w:r>
        <w:rPr>
          <w:rFonts w:ascii="Times New Roman" w:hAnsi="Times New Roman"/>
          <w:b w:val="false"/>
          <w:i w:val="false"/>
          <w:color w:val="000000"/>
          <w:sz w:val="22"/>
        </w:rPr>
        <w:t xml:space="preserve">(91)Use of blanket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2579s</w:t>
        </w:r>
      </w:hyperlink>
      <w:r>
        <w:rPr>
          <w:rFonts w:ascii="Times New Roman" w:hAnsi="Times New Roman"/>
          <w:b w:val="false"/>
          <w:i w:val="false"/>
          <w:color w:val="000000"/>
          <w:sz w:val="22"/>
        </w:rPr>
        <w:t xml:space="preserve"> may be used when the SBP and contracting officer determine it is not necessary to review individual orders under an established contract or with Government sources. The DD Form 2579 should be marked “Blanket” and specify any terms and restrictions for use of the blanket. A copy of the blanket DD Form 2579 is filed in each applicable order file.</w:t>
      </w:r>
    </w:p>
    <w:p>
      <w:pPr>
        <w:pBdr>
          <w:top w:space="5"/>
          <w:left w:space="5"/>
          <w:bottom w:space="5"/>
          <w:right w:space="5"/>
        </w:pBdr>
        <w:spacing w:after="0"/>
        <w:ind w:left="585"/>
        <w:jc w:val="left"/>
      </w:pPr>
      <w:r>
        <w:rPr>
          <w:rFonts w:ascii="Times New Roman" w:hAnsi="Times New Roman"/>
          <w:b w:val="false"/>
          <w:i w:val="false"/>
          <w:color w:val="000000"/>
          <w:sz w:val="22"/>
        </w:rPr>
        <w:t>(92) SBP review is not required for funding actions or the exercise of options (if the options were previously coordinated with the SBP).</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dtic.mil/whs/directives/forms/forminfo/forminfopage1959.htm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