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**ID__AFFARS_AFMC_PGI_5319_505__ID**</w:t>
      </w:r>
    </w:p>
    <w:p>
      <w:pPr>
        <w:pStyle w:val="Heading3"/>
        <w:spacing w:after="199"/>
        <w:ind w:left="120"/>
        <w:jc w:val="left"/>
      </w:pPr>
      <w:r>
        <w:rPr>
          <w:rFonts w:ascii="Times New Roman" w:hAnsi="Times New Roman"/>
          <w:color w:val="000000"/>
          <w:sz w:val="31"/>
        </w:rPr>
        <w:t>AFMC PGI 5319.505</w:t>
      </w:r>
      <w:r>
        <w:rPr>
          <w:rFonts w:ascii="Times New Roman" w:hAnsi="Times New Roman"/>
          <w:color w:val="000000"/>
          <w:sz w:val="31"/>
        </w:rPr>
        <w:t xml:space="preserve"> Rejecting Small Business Administration Recommendations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(d) Notify the local Small Business Office when the SBA procurement center representative appeals to the agency head (SAF/AQ) the contracting officer’s rejection of an SBA recommendation of a Small Business Set-Aside and keep the Small Business Office informed as the appeal process proceeds. If a Small Business Appeal is filed with the agency head, the contracting officer’s appeal file should be coordinated through the local small business office, legal office, and Clearance and Program Support office, then submitted by the SCO to SAF/SB. Provide a copy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AFMC/SB</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afmc.sb.workflow@us.af.mil"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