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**ID__AFFARS_AFFARS_PGI_5322__ID**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5322</w:t>
      </w:r>
      <w:r>
        <w:rPr>
          <w:rFonts w:ascii="Times New Roman" w:hAnsi="Times New Roman"/>
          <w:color w:val="000000"/>
          <w:sz w:val="48"/>
        </w:rPr>
        <w:t xml:space="preserve"> Application of Labor Laws to Government Acquisitions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5322 Application of Labor Laws to Government Acquisitions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5322.101-1-90 General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22.dita#AFFARS_SMC_PGI_5322" Type="http://schemas.openxmlformats.org/officeDocument/2006/relationships/hyperlink" Id="rId4"/>
    <Relationship TargetMode="External" Target="SMC_PGI_5322_101_1_90.dita#AFFARS_SMC_PGI_5322_101_1_9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