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**ID__AFFARS_SMC_PGI_5322_101_1_90__ID**</w:t>
      </w:r>
    </w:p>
    <w:p>
      <w:pPr>
        <w:pStyle w:val="Heading3"/>
        <w:spacing w:after="199"/>
        <w:ind w:left="120"/>
        <w:jc w:val="left"/>
      </w:pPr>
      <w:r>
        <w:rPr>
          <w:rFonts w:ascii="Times New Roman" w:hAnsi="Times New Roman"/>
          <w:color w:val="000000"/>
          <w:sz w:val="31"/>
        </w:rPr>
        <w:t>SMC PGI 5322.101-1-90</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sample request for proposal language</w:t>
        </w:r>
      </w:hyperlink>
      <w:r>
        <w:rPr>
          <w:rFonts w:ascii="Times New Roman" w:hAnsi="Times New Roman"/>
          <w:b w:val="false"/>
          <w:i w:val="false"/>
          <w:color w:val="000000"/>
          <w:sz w:val="22"/>
        </w:rPr>
        <w:t xml:space="preserve"> for professional employee compensation plan evaluation as part of contractor responsibility.</w:t>
      </w:r>
    </w:p>
    <w:p>
      <w:pPr>
        <w:pBdr>
          <w:top w:space="5"/>
          <w:left w:space="5"/>
          <w:bottom w:space="5"/>
          <w:right w:space="5"/>
        </w:pBdr>
        <w:spacing w:after="0"/>
        <w:ind w:left="225"/>
        <w:jc w:val="left"/>
      </w:pPr>
      <w:r>
        <w:rPr>
          <w:rFonts w:ascii="Times New Roman" w:hAnsi="Times New Roman"/>
          <w:b w:val="false"/>
          <w:i w:val="false"/>
          <w:color w:val="000000"/>
          <w:sz w:val="22"/>
        </w:rPr>
        <w:t>(b) During development of your acquisition strategy, think through how you intend to evaluate professional employee compensation to ensure you address in Section L the information you’ll need and can be clear in Section M where the evaluation lies (part of a technical subfactor, part of contractor responsibility, or other).</w:t>
      </w:r>
    </w:p>
    <w:p>
      <w:pPr>
        <w:pBdr>
          <w:top w:space="5"/>
          <w:left w:space="5"/>
          <w:bottom w:space="5"/>
          <w:right w:space="5"/>
        </w:pBdr>
        <w:spacing w:after="0"/>
        <w:ind w:left="225"/>
        <w:jc w:val="left"/>
      </w:pPr>
      <w:r>
        <w:rPr>
          <w:rFonts w:ascii="Times New Roman" w:hAnsi="Times New Roman"/>
          <w:b w:val="false"/>
          <w:i w:val="false"/>
          <w:color w:val="000000"/>
          <w:sz w:val="22"/>
        </w:rPr>
        <w:t>(c) Be clear in your solicitation as to which labor rate you are going to assess in your professional employee compensation evaluation – burdened or unburdened, and stick with it!</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GAO case</w:t>
        </w:r>
      </w:hyperlink>
      <w:r>
        <w:rPr>
          <w:rFonts w:ascii="Times New Roman" w:hAnsi="Times New Roman"/>
          <w:b w:val="false"/>
          <w:i w:val="false"/>
          <w:color w:val="000000"/>
          <w:sz w:val="22"/>
        </w:rPr>
        <w:t xml:space="preserv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B-413091.2, MicroTechnologies, LLC</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Protest of the Air Force’s evaluation of the awardee’s proposed professional employee compensation plan is sustained where the evaluation was not adequately documented, the data relied upon by the agency did not provide a meaningful basis to evaluate the awardee’s proposed compensation, and the agency acknowledges that it mistakenly relied upon incorrect data from a salary survey.</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sample_RFP_language.docx" Type="http://schemas.openxmlformats.org/officeDocument/2006/relationships/hyperlink" Id="rId4"/>
    <Relationship TargetMode="External" Target="http://www.gao.gov/products/D14390" Type="http://schemas.openxmlformats.org/officeDocument/2006/relationships/hyperlink" Id="rId5"/>
    <Relationship TargetMode="External" Target="http://www.gao.gov/products/D14390"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