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**ID__AFFARS_pgi_5333_topic_3__ID**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5333.102-90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AFICC standardized process for protests.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protests for operational contracting units for which AFICC provides contracting authority.</w:t>
      </w:r>
    </w:p>
    <w:p>
      <w:pPr>
        <w:pBdr>
          <w:top w:space="5"/>
          <w:left w:space="5"/>
          <w:bottom w:space="5"/>
          <w:right w:space="5"/>
        </w:pBdr>
        <w:spacing w:after="0"/>
        <w:ind w:left="225"/>
        <w:jc w:val="left"/>
      </w:pPr>
      <w:r>
        <w:rPr>
          <w:rFonts w:ascii="Times New Roman" w:hAnsi="Times New Roman"/>
          <w:b w:val="false"/>
          <w:i w:val="false"/>
          <w:color w:val="000000"/>
          <w:sz w:val="22"/>
        </w:rPr>
        <w:t>(a) Each AFICC OL SCO and/or ESS/KD Commander/Director should</w:t>
      </w:r>
      <w:r>
        <w:rPr>
          <w:rFonts w:ascii="Times New Roman" w:hAnsi="Times New Roman"/>
          <w:b w:val="false"/>
          <w:i w:val="false"/>
          <w:color w:val="000000"/>
          <w:sz w:val="22"/>
        </w:rPr>
        <w:t xml:space="preserve">appoint and provide their designated primary and alternate protest focal point contact information (primary/alternate, full name, DSN, and email address) to AFICC via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OL Policy Leads, ESS Superintendents (if applicable) and specifically designated primary and alternate protest focal points will also be given restricted access permissions to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Restricted access to the SharePoint site is limited to a few individuals from each AFICC OL, ESS/KD and to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 Promptly notify AFICC via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 Advise each of their AFICC operational contracting units of who their AFICC OL Director, AFICC Enterprise Sourcing Squadron (ESS), and AFICC/KD designated protest focal points are.</w:t>
      </w:r>
    </w:p>
    <w:p>
      <w:pPr>
        <w:pBdr>
          <w:top w:space="5"/>
          <w:left w:space="5"/>
          <w:bottom w:space="5"/>
          <w:right w:space="5"/>
        </w:pBdr>
        <w:spacing w:after="0"/>
        <w:ind w:left="945"/>
        <w:jc w:val="left"/>
      </w:pPr>
      <w:r>
        <w:rPr>
          <w:rFonts w:ascii="Times New Roman" w:hAnsi="Times New Roman"/>
          <w:b w:val="false"/>
          <w:i w:val="false"/>
          <w:color w:val="000000"/>
          <w:sz w:val="22"/>
        </w:rP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Bdr>
          <w:top w:space="5"/>
          <w:left w:space="5"/>
          <w:bottom w:space="5"/>
          <w:right w:space="5"/>
        </w:pBdr>
        <w:spacing w:after="0"/>
        <w:ind w:left="945"/>
        <w:jc w:val="left"/>
      </w:pPr>
      <w:r>
        <w:rPr>
          <w:rFonts w:ascii="Times New Roman" w:hAnsi="Times New Roman"/>
          <w:b w:val="false"/>
          <w:i w:val="false"/>
          <w:color w:val="000000"/>
          <w:sz w:val="22"/>
        </w:rP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This should automatically generate an email alert notification to both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 box</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(A)Notification through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pre and post award protests filed at any level on contracts or orders in accordance with procedures found within AFICC CCIR Handbook managed by AFICC Executive Officer.</w:t>
      </w:r>
    </w:p>
    <w:p>
      <w:pPr>
        <w:pBdr>
          <w:top w:space="5"/>
          <w:left w:space="5"/>
          <w:bottom w:space="5"/>
          <w:right w:space="5"/>
        </w:pBdr>
        <w:spacing w:after="0"/>
        <w:ind w:left="1305"/>
        <w:jc w:val="left"/>
      </w:pPr>
      <w:r>
        <w:rPr>
          <w:rFonts w:ascii="Times New Roman" w:hAnsi="Times New Roman"/>
          <w:b w:val="false"/>
          <w:i w:val="false"/>
          <w:color w:val="000000"/>
          <w:sz w:val="22"/>
        </w:rPr>
        <w:t xml:space="preserve">(B)See reporting requirements/details on main page of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Do not report/upload either of the following to the AFICC Protest Reporting Tool:</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Concerns/issues/complaints received by the Ombudsman in accordance with AFFARS 5301.91, Ombudsman Program.</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Protesting a Small Business Representation or Re-representation in accordance with FAR 19.302.</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ica.kp.workflow@us.af.mil" Type="http://schemas.openxmlformats.org/officeDocument/2006/relationships/hyperlink" Id="rId4"/>
    <Relationship TargetMode="External" Target="mailto:afica.kp.workflow@us.af.mil" Type="http://schemas.openxmlformats.org/officeDocument/2006/relationships/hyperlink" Id="rId5"/>
    <Relationship TargetMode="External" Target="https://cs2.eis.af.mil/sites/10074/afcc/aficc/kp/Reporting_Main/reporting_protests.aspx" Type="http://schemas.openxmlformats.org/officeDocument/2006/relationships/hyperlink" Id="rId6"/>
    <Relationship TargetMode="External" Target="mailto:afica.kp.workflow@us.af.mil" Type="http://schemas.openxmlformats.org/officeDocument/2006/relationships/hyperlink" Id="rId7"/>
    <Relationship TargetMode="External" Target="https://cs2.eis.af.mil/sites/10074/afcc/afica/kp/Reporting_Main/reporting_protests.aspx" Type="http://schemas.openxmlformats.org/officeDocument/2006/relationships/hyperlink" Id="rId8"/>
    <Relationship TargetMode="External" Target="mailto:afica.kp.workflow@us.af.mil" Type="http://schemas.openxmlformats.org/officeDocument/2006/relationships/hyperlink" Id="rId9"/>
    <Relationship TargetMode="External" Target="mailto:esg.ds.aficaexec@us.af.mil" Type="http://schemas.openxmlformats.org/officeDocument/2006/relationships/hyperlink" Id="rId10"/>
    <Relationship TargetMode="External" Target="https://cs2.eis.af.mil/sites/10074/afcc/aficc/act_off/Reporting%20-%20CCIR%20Guidance%20(Sep%2015).pdf" Type="http://schemas.openxmlformats.org/officeDocument/2006/relationships/hyperlink" Id="rId11"/>
    <Relationship TargetMode="External" Target="https://cs2.eis.af.mil/sites/10074/afcc/afica/kp/Reporting_Main/reporting_protests.aspx" Type="http://schemas.openxmlformats.org/officeDocument/2006/relationships/hyperlink" Id="rId1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