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**ID__AFFARS_AFICC_PGI_5333_103__ID**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5333.103</w:t>
      </w:r>
      <w:r>
        <w:rPr>
          <w:rFonts w:ascii="Times New Roman" w:hAnsi="Times New Roman"/>
          <w:color w:val="000000"/>
          <w:sz w:val="31"/>
        </w:rPr>
        <w:t xml:space="preserve"> Protests to the Agency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Contracting officers are encouraged to work with interested parties to resolve issues amicably in lieu of a protest. However, when an Agency Protest occurs and the contracting officer determines it to be invalid or unsupportable, contracting officers may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Agency Protest Summary Dismissal Template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</w:t>
      </w:r>
      <w:r>
        <w:rPr>
          <w:rFonts w:ascii="Times New Roman" w:hAnsi="Times New Roman"/>
          <w:b w:val="false"/>
          <w:i/>
          <w:color w:val="000000"/>
          <w:sz w:val="22"/>
        </w:rPr>
        <w:t>Pre-award.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Following legal review of the protest, should a decision to award be made, the COCO should review and make the final decision to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</w:t>
      </w:r>
      <w:r>
        <w:rPr>
          <w:rFonts w:ascii="Times New Roman" w:hAnsi="Times New Roman"/>
          <w:b w:val="false"/>
          <w:i/>
          <w:color w:val="000000"/>
          <w:sz w:val="22"/>
        </w:rPr>
        <w:t>Post-award.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Following legal review of a protest, the COCO should review and decide whether or not to continue performance.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gency_protest_summary_dismissal_templat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