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**ID__AFFARS_pgi_5333_topic_5__ID**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AFICC PGI 5333.9000</w:t>
      </w:r>
      <w:r>
        <w:rPr>
          <w:rFonts w:ascii="Times New Roman" w:hAnsi="Times New Roman"/>
          <w:color w:val="000000"/>
          <w:sz w:val="31"/>
        </w:rPr>
        <w:t xml:space="preserve"> Congressional Inquiries Process</w:t>
      </w:r>
    </w:p>
    <w:p>
      <w:pPr>
        <w:pBdr>
          <w:top w:space="5"/>
          <w:left w:space="5"/>
          <w:bottom w:space="5"/>
          <w:right w:space="5"/>
        </w:pBdr>
        <w:spacing w:after="0"/>
        <w:ind w:left="225"/>
        <w:jc w:val="left"/>
      </w:pPr>
      <w:r>
        <w:rPr>
          <w:rFonts w:ascii="Times New Roman" w:hAnsi="Times New Roman"/>
          <w:b w:val="false"/>
          <w:i w:val="false"/>
          <w:color w:val="000000"/>
          <w:sz w:val="22"/>
        </w:rP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is the focal point for congressional inquiries regarding contracting issues for all operational contracting units for which AFICC provides contracting authority, regardless of congressional inquiry entry point.</w:t>
      </w:r>
    </w:p>
    <w:p>
      <w:pPr>
        <w:pBdr>
          <w:top w:space="5"/>
          <w:left w:space="5"/>
          <w:bottom w:space="5"/>
          <w:right w:space="5"/>
        </w:pBdr>
        <w:spacing w:after="0"/>
        <w:ind w:left="225"/>
        <w:jc w:val="left"/>
      </w:pPr>
      <w:r>
        <w:rPr>
          <w:rFonts w:ascii="Times New Roman" w:hAnsi="Times New Roman"/>
          <w:b w:val="false"/>
          <w:i w:val="false"/>
          <w:color w:val="000000"/>
          <w:sz w:val="22"/>
        </w:rP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AFICC Policy Leads, ESS Superintendents (if applicable) and specifically designated primary and alternate congressional inquiries focal points will also be given restricted access permissions to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Restricted access to the SharePoint site is limited to a few individuals from each AFICC OL, ESS/KD and AFICC staff.</w:t>
      </w:r>
    </w:p>
    <w:p>
      <w:pPr>
        <w:pBdr>
          <w:top w:space="5"/>
          <w:left w:space="5"/>
          <w:bottom w:space="5"/>
          <w:right w:space="5"/>
        </w:pBdr>
        <w:spacing w:after="0"/>
        <w:ind w:left="585"/>
        <w:jc w:val="left"/>
      </w:pPr>
      <w:r>
        <w:rPr>
          <w:rFonts w:ascii="Times New Roman" w:hAnsi="Times New Roman"/>
          <w:b w:val="false"/>
          <w:i w:val="false"/>
          <w:color w:val="000000"/>
          <w:sz w:val="22"/>
        </w:rPr>
        <w:t xml:space="preserve">(1)Promptly notify AFICC via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when a designated focal point is no longer designated so that permissions to the restricted access site can be removed accordingly.</w:t>
      </w:r>
    </w:p>
    <w:p>
      <w:pPr>
        <w:pBdr>
          <w:top w:space="5"/>
          <w:left w:space="5"/>
          <w:bottom w:space="5"/>
          <w:right w:space="5"/>
        </w:pBdr>
        <w:spacing w:after="0"/>
        <w:ind w:left="585"/>
        <w:jc w:val="left"/>
      </w:pPr>
      <w:r>
        <w:rPr>
          <w:rFonts w:ascii="Times New Roman" w:hAnsi="Times New Roman"/>
          <w:b w:val="false"/>
          <w:i w:val="false"/>
          <w:color w:val="000000"/>
          <w:sz w:val="22"/>
        </w:rPr>
        <w:t>(2)Advise their AFICC operational contracting units of who their AFICC designated primary and alternate congressional inquiries focal points are and ensure the correct contact information is available.</w:t>
      </w:r>
    </w:p>
    <w:p>
      <w:pPr>
        <w:pBdr>
          <w:top w:space="5"/>
          <w:left w:space="5"/>
          <w:bottom w:space="5"/>
          <w:right w:space="5"/>
        </w:pBdr>
        <w:spacing w:after="0"/>
        <w:ind w:left="585"/>
        <w:jc w:val="left"/>
      </w:pPr>
      <w:r>
        <w:rPr>
          <w:rFonts w:ascii="Times New Roman" w:hAnsi="Times New Roman"/>
          <w:b w:val="false"/>
          <w:i w:val="false"/>
          <w:color w:val="000000"/>
          <w:sz w:val="22"/>
        </w:rPr>
        <w:t>(3) Actions to take within one work day of notification/receipt of congressional inquiries: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Each unit should ensure their AFICC OL SCO and/or ESS/KD designated congressional inquiries focal points already have or are provided with the required information and documents (copy of congressional inquiry) for upload into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w:t>
        </w:r>
        <w:r>
          <w:rPr>
            <w:rFonts w:ascii="Times New Roman" w:hAnsi="Times New Roman"/>
            <w:b w:val="false"/>
            <w:i w:val="false"/>
            <w:color w:val="0000ff"/>
            <w:sz w:val="22"/>
            <w:u w:val="single"/>
          </w:rPr>
          <w:t>tool</w:t>
        </w:r>
      </w:hyperlink>
      <w:r>
        <w:rPr>
          <w:rFonts w:ascii="Times New Roman" w:hAnsi="Times New Roman"/>
          <w:b w:val="false"/>
          <w:i w:val="false"/>
          <w:color w:val="000000"/>
          <w:sz w:val="22"/>
        </w:rPr>
        <w:t>. Designated AFICC OL SCOs and ESS/KD congressional inquiries focal points should:</w:t>
      </w:r>
    </w:p>
    <w:p>
      <w:pPr>
        <w:pBdr>
          <w:top w:space="5"/>
          <w:left w:space="5"/>
          <w:bottom w:space="5"/>
          <w:right w:space="5"/>
        </w:pBdr>
        <w:spacing w:after="0"/>
        <w:ind w:left="585"/>
        <w:jc w:val="left"/>
      </w:pPr>
      <w:r>
        <w:rPr>
          <w:rFonts w:ascii="Times New Roman" w:hAnsi="Times New Roman"/>
          <w:b w:val="false"/>
          <w:i w:val="false"/>
          <w:color w:val="000000"/>
          <w:sz w:val="22"/>
        </w:rPr>
        <w:t>(1) Ensure their management is advised of congressional inquiries, as deemed appropriate.</w:t>
      </w:r>
    </w:p>
    <w:p>
      <w:pPr>
        <w:pBdr>
          <w:top w:space="5"/>
          <w:left w:space="5"/>
          <w:bottom w:space="5"/>
          <w:right w:space="5"/>
        </w:pBdr>
        <w:spacing w:after="0"/>
        <w:ind w:left="585"/>
        <w:jc w:val="left"/>
      </w:pPr>
      <w:r>
        <w:rPr>
          <w:rFonts w:ascii="Times New Roman" w:hAnsi="Times New Roman"/>
          <w:b w:val="false"/>
          <w:i w:val="false"/>
          <w:color w:val="000000"/>
          <w:sz w:val="22"/>
        </w:rPr>
        <w:t xml:space="preserve">(2)Upload a copy of the congressional inquiry as Adobe PDF document or emails with attachments as an Outlook.msg file and complete the fillable reporting tool form in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xml:space="preserve">. This should automatically generate an email alert notification to both the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 and to the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(3)When an extension to a suspense date for submission of response is needed, submit extension request immediately (with a specified requested extension date) directly to SAF/AQCX, or other applicable tasking official, and copy both the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w:t>
        </w:r>
      </w:hyperlink>
      <w:r>
        <w:rPr>
          <w:rFonts w:ascii="Times New Roman" w:hAnsi="Times New Roman"/>
          <w:b w:val="false"/>
          <w:i w:val="false"/>
          <w:color w:val="000000"/>
          <w:sz w:val="22"/>
        </w:rPr>
        <w:t xml:space="preserve">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workflow</w:t>
        </w:r>
      </w:hyperlink>
      <w:r>
        <w:rPr>
          <w:rFonts w:ascii="Times New Roman" w:hAnsi="Times New Roman"/>
          <w:b w:val="false"/>
          <w:i w:val="false"/>
          <w:color w:val="000000"/>
          <w:sz w:val="22"/>
        </w:rPr>
        <w:t xml:space="preserve">and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Exec workflow.</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(4)Notification through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Commander's Critical Information Report</w:t>
        </w:r>
      </w:hyperlink>
      <w:r>
        <w:rPr>
          <w:rFonts w:ascii="Times New Roman" w:hAnsi="Times New Roman"/>
          <w:b w:val="false"/>
          <w:i w:val="false"/>
          <w:color w:val="000000"/>
          <w:sz w:val="22"/>
        </w:rPr>
        <w:t xml:space="preserve"> is required for all Congressional information requests or data calls not originating from AFICC.</w:t>
      </w:r>
    </w:p>
    <w:p>
      <w:pPr>
        <w:pBdr>
          <w:top w:space="5"/>
          <w:left w:space="5"/>
          <w:bottom w:space="5"/>
          <w:right w:space="5"/>
        </w:pBdr>
        <w:spacing w:after="0"/>
        <w:ind w:left="225"/>
        <w:jc w:val="left"/>
      </w:pPr>
      <w:r>
        <w:rPr>
          <w:rFonts w:ascii="Times New Roman" w:hAnsi="Times New Roman"/>
          <w:b w:val="false"/>
          <w:i w:val="false"/>
          <w:color w:val="000000"/>
          <w:sz w:val="22"/>
        </w:rPr>
        <w:t xml:space="preserve">(e) Actions to take by the designated AFICC OL SCO congressional inquiries focal points concurrently/immediately with direct submission of finalized congressional inquiry response to the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r>
          <w:rPr>
            <w:rFonts w:ascii="Times New Roman" w:hAnsi="Times New Roman"/>
            <w:b w:val="false"/>
            <w:i w:val="false"/>
            <w:color w:val="0000ff"/>
            <w:sz w:val="22"/>
            <w:u w:val="single"/>
          </w:rPr>
          <w:t>Workflow</w:t>
        </w:r>
        <w:r>
          <w:rPr>
            <w:rFonts w:ascii="Times New Roman" w:hAnsi="Times New Roman"/>
            <w:b w:val="false"/>
            <w:i w:val="false"/>
            <w:color w:val="0000ff"/>
            <w:sz w:val="22"/>
            <w:u w:val="single"/>
          </w:rPr>
          <w:t>box</w:t>
        </w:r>
      </w:hyperlink>
      <w:r>
        <w:rPr>
          <w:rFonts w:ascii="Times New Roman" w:hAnsi="Times New Roman"/>
          <w:b w:val="false"/>
          <w:i w:val="false"/>
          <w:color w:val="000000"/>
          <w:sz w:val="22"/>
        </w:rPr>
        <w:t xml:space="preserve"> Attn: SAF/AQCX (DSN 260-7077), or other applicable tasking official:</w:t>
      </w:r>
    </w:p>
    <w:p>
      <w:pPr>
        <w:pBdr>
          <w:top w:space="5"/>
          <w:left w:space="5"/>
          <w:bottom w:space="5"/>
          <w:right w:space="5"/>
        </w:pBdr>
        <w:spacing w:after="0"/>
        <w:ind w:left="585"/>
        <w:jc w:val="left"/>
      </w:pPr>
      <w:r>
        <w:rPr>
          <w:rFonts w:ascii="Times New Roman" w:hAnsi="Times New Roman"/>
          <w:b w:val="false"/>
          <w:i w:val="false"/>
          <w:color w:val="000000"/>
          <w:sz w:val="22"/>
        </w:rPr>
        <w:t>(1)Update the fillable reporting tool form in the AFICC Congressional Reporting Tool with any needed changes.</w:t>
      </w:r>
    </w:p>
    <w:p>
      <w:pPr>
        <w:pBdr>
          <w:top w:space="5"/>
          <w:left w:space="5"/>
          <w:bottom w:space="5"/>
          <w:right w:space="5"/>
        </w:pBdr>
        <w:spacing w:after="0"/>
        <w:ind w:left="585"/>
        <w:jc w:val="left"/>
      </w:pPr>
      <w:r>
        <w:rPr>
          <w:rFonts w:ascii="Times New Roman" w:hAnsi="Times New Roman"/>
          <w:b w:val="false"/>
          <w:i w:val="false"/>
          <w:color w:val="000000"/>
          <w:sz w:val="22"/>
        </w:rPr>
        <w:t xml:space="preserve">(2)Upload a copy of the </w:t>
      </w:r>
      <w:r>
        <w:rPr>
          <w:rFonts w:ascii="Times New Roman" w:hAnsi="Times New Roman"/>
          <w:b w:val="false"/>
          <w:i w:val="false"/>
          <w:color w:val="000000"/>
          <w:sz w:val="22"/>
          <w:u w:val="single"/>
        </w:rPr>
        <w:t>final</w:t>
      </w:r>
      <w:r>
        <w:rPr>
          <w:rFonts w:ascii="Times New Roman" w:hAnsi="Times New Roman"/>
          <w:b w:val="false"/>
          <w:i w:val="false"/>
          <w:color w:val="000000"/>
          <w:sz w:val="22"/>
        </w:rPr>
        <w:t xml:space="preserve"> congressional inquiry response, along with any other documents required by the tasker as Adobe PDF document or emails with attachments as Outlook.msg, into the </w:t>
      </w:r>
      <w:hyperlink r:id="rId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Congressional Reporting Tool</w:t>
        </w:r>
      </w:hyperlink>
      <w:r>
        <w:rPr>
          <w:rFonts w:ascii="Times New Roman" w:hAnsi="Times New Roman"/>
          <w:b w:val="false"/>
          <w:i w:val="false"/>
          <w:color w:val="000000"/>
          <w:sz w:val="22"/>
        </w:rPr>
        <w:t xml:space="preserve">. This will automatically generate an email alert notification to both the </w:t>
      </w:r>
      <w:hyperlink r:id="rId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AFICC/KP workflow</w:t>
        </w:r>
      </w:hyperlink>
      <w:r>
        <w:rPr>
          <w:rFonts w:ascii="Times New Roman" w:hAnsi="Times New Roman"/>
          <w:b w:val="false"/>
          <w:i w:val="false"/>
          <w:color w:val="000000"/>
          <w:sz w:val="22"/>
        </w:rPr>
        <w:t xml:space="preserve">and to the </w:t>
      </w:r>
      <w:hyperlink r:id="rId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w:t>
        </w:r>
        <w:r>
          <w:rPr>
            <w:rFonts w:ascii="Times New Roman" w:hAnsi="Times New Roman"/>
            <w:b w:val="false"/>
            <w:i w:val="false"/>
            <w:color w:val="0000ff"/>
            <w:sz w:val="22"/>
            <w:u w:val="single"/>
          </w:rPr>
          <w:t>Exec</w:t>
        </w:r>
        <w:r>
          <w:rPr>
            <w:rFonts w:ascii="Times New Roman" w:hAnsi="Times New Roman"/>
            <w:b w:val="false"/>
            <w:i w:val="false"/>
            <w:color w:val="0000ff"/>
            <w:sz w:val="22"/>
            <w:u w:val="single"/>
          </w:rPr>
          <w:t>Workflow</w:t>
        </w:r>
        <w:r>
          <w:rPr>
            <w:rFonts w:ascii="Times New Roman" w:hAnsi="Times New Roman"/>
            <w:b w:val="false"/>
            <w:i w:val="false"/>
            <w:color w:val="0000ff"/>
            <w:sz w:val="22"/>
            <w:u w:val="single"/>
          </w:rPr>
          <w:t>Box</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ica.kp.workflow@us.af.mil" Type="http://schemas.openxmlformats.org/officeDocument/2006/relationships/hyperlink" Id="rId4"/>
    <Relationship TargetMode="External" Target="mailto:afica.kp.workflow@us.af.mil" Type="http://schemas.openxmlformats.org/officeDocument/2006/relationships/hyperlink" Id="rId5"/>
    <Relationship TargetMode="External" Target="https://cs2.eis.af.mil/sites/10074/afcc/aficc/kp/Reporting_Main/reporting_congressionals.aspx" Type="http://schemas.openxmlformats.org/officeDocument/2006/relationships/hyperlink" Id="rId6"/>
    <Relationship TargetMode="External" Target="mailto:afica.kp.workflow@us.af.mil" Type="http://schemas.openxmlformats.org/officeDocument/2006/relationships/hyperlink" Id="rId7"/>
    <Relationship TargetMode="External" Target="https://cs2.eis.af.mil/sites/10074/afcc/aficc/kp/Reporting_Main/reporting_congressionals.aspx" Type="http://schemas.openxmlformats.org/officeDocument/2006/relationships/hyperlink" Id="rId8"/>
    <Relationship TargetMode="External" Target="https://cs2.eis.af.mil/sites/10074/afcc/aficc/kp/Reporting_Main/reporting_congressionals.aspx" Type="http://schemas.openxmlformats.org/officeDocument/2006/relationships/hyperlink" Id="rId9"/>
    <Relationship TargetMode="External" Target="mailto:afica.kp.workflow@us.af.mil" Type="http://schemas.openxmlformats.org/officeDocument/2006/relationships/hyperlink" Id="rId10"/>
    <Relationship TargetMode="External" Target="mailto:esg.ds.aficaexec@us.af.mil" Type="http://schemas.openxmlformats.org/officeDocument/2006/relationships/hyperlink" Id="rId11"/>
    <Relationship TargetMode="External" Target="mailto:afica.kp.workflow@us.af.mil" Type="http://schemas.openxmlformats.org/officeDocument/2006/relationships/hyperlink" Id="rId12"/>
    <Relationship TargetMode="External" Target="mailto:afica.kp.workflow@us.af.mil" Type="http://schemas.openxmlformats.org/officeDocument/2006/relationships/hyperlink" Id="rId13"/>
    <Relationship TargetMode="External" Target="mailto:esg.ds.aficaexec@us.af.mil" Type="http://schemas.openxmlformats.org/officeDocument/2006/relationships/hyperlink" Id="rId14"/>
    <Relationship TargetMode="External" Target="https://cs2.eis.af.mil/sites/10074/afcc/aficc/act_off/Reporting%20-%20CCIR%20Guidance%20(Sep%2015).pdf" Type="http://schemas.openxmlformats.org/officeDocument/2006/relationships/hyperlink" Id="rId15"/>
    <Relationship TargetMode="External" Target="mailto:usaf.pentagon.saf-aq.mbx.saf-aqc-workflow@mail.mil" Type="http://schemas.openxmlformats.org/officeDocument/2006/relationships/hyperlink" Id="rId16"/>
    <Relationship TargetMode="External" Target="hhttps://cs2.eis.af.mil/sites/10074/afcc/aficc/kp/Reporting_Main/reporting_congressionals.aspx" Type="http://schemas.openxmlformats.org/officeDocument/2006/relationships/hyperlink" Id="rId17"/>
    <Relationship TargetMode="External" Target="mailto:afica.kp.workflow@us.af.mil" Type="http://schemas.openxmlformats.org/officeDocument/2006/relationships/hyperlink" Id="rId18"/>
    <Relationship TargetMode="External" Target="mailto:esg.ds.aficaexec@us.af.mil" Type="http://schemas.openxmlformats.org/officeDocument/2006/relationships/hyperlink" Id="rId1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