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**ID__AFFARS_AFMC_PGI_5333_102_90__ID**</w:t>
      </w:r>
    </w:p>
    <w:p>
      <w:pPr>
        <w:pStyle w:val="Heading3"/>
        <w:spacing w:after="199"/>
        <w:ind w:left="120"/>
        <w:jc w:val="left"/>
      </w:pPr>
      <w:r>
        <w:rPr>
          <w:rFonts w:ascii="Times New Roman" w:hAnsi="Times New Roman"/>
          <w:color w:val="000000"/>
          <w:sz w:val="31"/>
        </w:rPr>
        <w:t>AFMC PGI 5333.102-90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SCO should assign a POC as a protest focal point to receive notifications of new protests. Centers should provide the name, email address and phone number for each assigned protest focal point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AFMC/PKQ workflow</w:t>
        </w:r>
      </w:hyperlink>
      <w:r>
        <w:rPr>
          <w:rFonts w:ascii="Times New Roman" w:hAnsi="Times New Roman"/>
          <w:b w:val="false"/>
          <w:i w:val="false"/>
          <w:color w:val="000000"/>
          <w:sz w:val="22"/>
        </w:rPr>
        <w:t xml:space="preserve">. HQ AFMC/PKQ is responsible for maintaining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Protest Focal Points</w:t>
        </w:r>
      </w:hyperlink>
      <w:r>
        <w:rPr>
          <w:rFonts w:ascii="Times New Roman" w:hAnsi="Times New Roman"/>
          <w:b w:val="false"/>
          <w:i w:val="false"/>
          <w:color w:val="000000"/>
          <w:sz w:val="22"/>
        </w:rPr>
        <w:t xml:space="preserve"> list. Immediately upon receipt of a protest, the contracting officer (CO) should provide a copy of the protest to the protest focal point and supporting legal office along with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Date protest received</w:t>
      </w:r>
    </w:p>
    <w:p>
      <w:pPr>
        <w:pBdr>
          <w:top w:space="5"/>
          <w:left w:space="5"/>
          <w:bottom w:space="5"/>
          <w:right w:space="5"/>
        </w:pBdr>
        <w:spacing w:after="0"/>
        <w:ind w:left="585"/>
        <w:jc w:val="left"/>
      </w:pPr>
      <w:r>
        <w:rPr>
          <w:rFonts w:ascii="Times New Roman" w:hAnsi="Times New Roman"/>
          <w:b w:val="false"/>
          <w:i w:val="false"/>
          <w:color w:val="000000"/>
          <w:sz w:val="22"/>
        </w:rPr>
        <w:t>(2) Protest type (agency or GAO – before award or after award)</w:t>
      </w:r>
    </w:p>
    <w:p>
      <w:pPr>
        <w:pBdr>
          <w:top w:space="5"/>
          <w:left w:space="5"/>
          <w:bottom w:space="5"/>
          <w:right w:space="5"/>
        </w:pBdr>
        <w:spacing w:after="0"/>
        <w:ind w:left="585"/>
        <w:jc w:val="left"/>
      </w:pPr>
      <w:r>
        <w:rPr>
          <w:rFonts w:ascii="Times New Roman" w:hAnsi="Times New Roman"/>
          <w:b w:val="false"/>
          <w:i w:val="false"/>
          <w:color w:val="000000"/>
          <w:sz w:val="22"/>
        </w:rPr>
        <w:t>(3) Protestor name and address</w:t>
      </w:r>
    </w:p>
    <w:p>
      <w:pPr>
        <w:pBdr>
          <w:top w:space="5"/>
          <w:left w:space="5"/>
          <w:bottom w:space="5"/>
          <w:right w:space="5"/>
        </w:pBdr>
        <w:spacing w:after="0"/>
        <w:ind w:left="585"/>
        <w:jc w:val="left"/>
      </w:pPr>
      <w:r>
        <w:rPr>
          <w:rFonts w:ascii="Times New Roman" w:hAnsi="Times New Roman"/>
          <w:b w:val="false"/>
          <w:i w:val="false"/>
          <w:color w:val="000000"/>
          <w:sz w:val="22"/>
        </w:rPr>
        <w:t>(4) Solicitation number and number of offerors or potential offerors</w:t>
      </w:r>
    </w:p>
    <w:p>
      <w:pPr>
        <w:pBdr>
          <w:top w:space="5"/>
          <w:left w:space="5"/>
          <w:bottom w:space="5"/>
          <w:right w:space="5"/>
        </w:pBdr>
        <w:spacing w:after="0"/>
        <w:ind w:left="585"/>
        <w:jc w:val="left"/>
      </w:pPr>
      <w:r>
        <w:rPr>
          <w:rFonts w:ascii="Times New Roman" w:hAnsi="Times New Roman"/>
          <w:b w:val="false"/>
          <w:i w:val="false"/>
          <w:color w:val="000000"/>
          <w:sz w:val="22"/>
        </w:rPr>
        <w:t>(5) Contract number (if applicable)</w:t>
      </w:r>
    </w:p>
    <w:p>
      <w:pPr>
        <w:pBdr>
          <w:top w:space="5"/>
          <w:left w:space="5"/>
          <w:bottom w:space="5"/>
          <w:right w:space="5"/>
        </w:pBdr>
        <w:spacing w:after="0"/>
        <w:ind w:left="585"/>
        <w:jc w:val="left"/>
      </w:pPr>
      <w:r>
        <w:rPr>
          <w:rFonts w:ascii="Times New Roman" w:hAnsi="Times New Roman"/>
          <w:b w:val="false"/>
          <w:i w:val="false"/>
          <w:color w:val="000000"/>
          <w:sz w:val="22"/>
        </w:rPr>
        <w:t>(6) Contractor name (if applicable)</w:t>
      </w:r>
    </w:p>
    <w:p>
      <w:pPr>
        <w:pBdr>
          <w:top w:space="5"/>
          <w:left w:space="5"/>
          <w:bottom w:space="5"/>
          <w:right w:space="5"/>
        </w:pBdr>
        <w:spacing w:after="0"/>
        <w:ind w:left="585"/>
        <w:jc w:val="left"/>
      </w:pPr>
      <w:r>
        <w:rPr>
          <w:rFonts w:ascii="Times New Roman" w:hAnsi="Times New Roman"/>
          <w:b w:val="false"/>
          <w:i w:val="false"/>
          <w:color w:val="000000"/>
          <w:sz w:val="22"/>
        </w:rPr>
        <w:t>(7) Contracting method and type</w:t>
      </w:r>
    </w:p>
    <w:p>
      <w:pPr>
        <w:pBdr>
          <w:top w:space="5"/>
          <w:left w:space="5"/>
          <w:bottom w:space="5"/>
          <w:right w:space="5"/>
        </w:pBdr>
        <w:spacing w:after="0"/>
        <w:ind w:left="585"/>
        <w:jc w:val="left"/>
      </w:pPr>
      <w:r>
        <w:rPr>
          <w:rFonts w:ascii="Times New Roman" w:hAnsi="Times New Roman"/>
          <w:b w:val="false"/>
          <w:i w:val="false"/>
          <w:color w:val="000000"/>
          <w:sz w:val="22"/>
        </w:rPr>
        <w:t>(8) Amount or estimated amount of acquisition</w:t>
      </w:r>
    </w:p>
    <w:p>
      <w:pPr>
        <w:pBdr>
          <w:top w:space="5"/>
          <w:left w:space="5"/>
          <w:bottom w:space="5"/>
          <w:right w:space="5"/>
        </w:pBdr>
        <w:spacing w:after="0"/>
        <w:ind w:left="585"/>
        <w:jc w:val="left"/>
      </w:pPr>
      <w:r>
        <w:rPr>
          <w:rFonts w:ascii="Times New Roman" w:hAnsi="Times New Roman"/>
          <w:b w:val="false"/>
          <w:i w:val="false"/>
          <w:color w:val="000000"/>
          <w:sz w:val="22"/>
        </w:rPr>
        <w:t>(9) Buyer/contracting officer name, phone and office</w:t>
      </w:r>
    </w:p>
    <w:p>
      <w:pPr>
        <w:pBdr>
          <w:top w:space="5"/>
          <w:left w:space="5"/>
          <w:bottom w:space="5"/>
          <w:right w:space="5"/>
        </w:pBdr>
        <w:spacing w:after="0"/>
        <w:ind w:left="585"/>
        <w:jc w:val="left"/>
      </w:pPr>
      <w:r>
        <w:rPr>
          <w:rFonts w:ascii="Times New Roman" w:hAnsi="Times New Roman"/>
          <w:b w:val="false"/>
          <w:i w:val="false"/>
          <w:color w:val="000000"/>
          <w:sz w:val="22"/>
        </w:rPr>
        <w:t>(10) Description of item (including NSN), service, or program name</w:t>
      </w:r>
    </w:p>
    <w:p>
      <w:pPr>
        <w:pBdr>
          <w:top w:space="5"/>
          <w:left w:space="5"/>
          <w:bottom w:space="5"/>
          <w:right w:space="5"/>
        </w:pBdr>
        <w:spacing w:after="0"/>
        <w:ind w:left="585"/>
        <w:jc w:val="left"/>
      </w:pPr>
      <w:r>
        <w:rPr>
          <w:rFonts w:ascii="Times New Roman" w:hAnsi="Times New Roman"/>
          <w:b w:val="false"/>
          <w:i w:val="false"/>
          <w:color w:val="000000"/>
          <w:sz w:val="22"/>
        </w:rPr>
        <w:t>(11) Summary of protest/issues</w:t>
      </w:r>
    </w:p>
    <w:p>
      <w:pPr>
        <w:pBdr>
          <w:top w:space="5"/>
          <w:left w:space="5"/>
          <w:bottom w:space="5"/>
          <w:right w:space="5"/>
        </w:pBdr>
        <w:spacing w:after="0"/>
        <w:ind w:left="585"/>
        <w:jc w:val="left"/>
      </w:pPr>
      <w:r>
        <w:rPr>
          <w:rFonts w:ascii="Times New Roman" w:hAnsi="Times New Roman"/>
          <w:b w:val="false"/>
          <w:i w:val="false"/>
          <w:color w:val="000000"/>
          <w:sz w:val="22"/>
        </w:rPr>
        <w:t>(12) Legal liaison assigned to protest</w:t>
      </w:r>
    </w:p>
    <w:p>
      <w:pPr>
        <w:pBdr>
          <w:top w:space="5"/>
          <w:left w:space="5"/>
          <w:bottom w:space="5"/>
          <w:right w:space="5"/>
        </w:pBdr>
        <w:spacing w:after="0"/>
        <w:ind w:left="225"/>
        <w:jc w:val="left"/>
      </w:pPr>
      <w:r>
        <w:rPr>
          <w:rFonts w:ascii="Times New Roman" w:hAnsi="Times New Roman"/>
          <w:b w:val="false"/>
          <w:i w:val="false"/>
          <w:color w:val="000000"/>
          <w:sz w:val="22"/>
        </w:rP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HQAFMCPK.PKQ.Workflow@us.af.mil" Type="http://schemas.openxmlformats.org/officeDocument/2006/relationships/hyperlink" Id="rId4"/>
    <Relationship TargetMode="External" Target="https://usaf.dps.mil/teams/PK-Central/AFCC/afmc_pk_mp_ig/POCs/Lists/Master_POC_List/Protest.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